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B2C" w:rsidRDefault="00001B2C" w:rsidP="00001B2C">
      <w:pPr>
        <w:shd w:val="clear" w:color="auto" w:fill="FFFFFF"/>
        <w:spacing w:line="312" w:lineRule="auto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517EDC" wp14:editId="0F7CAF5E">
            <wp:simplePos x="0" y="0"/>
            <wp:positionH relativeFrom="margin">
              <wp:posOffset>209550</wp:posOffset>
            </wp:positionH>
            <wp:positionV relativeFrom="topMargin">
              <wp:posOffset>887095</wp:posOffset>
            </wp:positionV>
            <wp:extent cx="5253239" cy="576073"/>
            <wp:effectExtent l="0" t="0" r="5080" b="0"/>
            <wp:wrapSquare wrapText="bothSides"/>
            <wp:docPr id="1" name="Obraz 1" descr="Ciąg logotypów zawierający logo Funduszy Europejskich, flagę Rzeczypospolitej Polskiej, logo PARP, flagę UE z podpisem Unia Europejska, Europejski Fundusz Rozwoju Regionalnego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Flaga PARP EFRR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239" cy="576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38B6" w:rsidRDefault="00190035" w:rsidP="00001B2C">
      <w:pPr>
        <w:shd w:val="clear" w:color="auto" w:fill="FFFFFF"/>
        <w:spacing w:line="312" w:lineRule="auto"/>
        <w:jc w:val="right"/>
        <w:rPr>
          <w:rFonts w:asciiTheme="minorHAnsi" w:hAnsiTheme="minorHAnsi" w:cstheme="minorHAnsi"/>
          <w:b/>
        </w:rPr>
      </w:pPr>
      <w:r w:rsidRPr="00B660A3">
        <w:rPr>
          <w:rFonts w:asciiTheme="minorHAnsi" w:hAnsiTheme="minorHAnsi" w:cstheme="minorHAnsi"/>
          <w:b/>
        </w:rPr>
        <w:t>Załącznik nr 1</w:t>
      </w:r>
      <w:r w:rsidR="004702D8">
        <w:rPr>
          <w:rFonts w:asciiTheme="minorHAnsi" w:hAnsiTheme="minorHAnsi" w:cstheme="minorHAnsi"/>
          <w:b/>
        </w:rPr>
        <w:t xml:space="preserve"> do f</w:t>
      </w:r>
      <w:r w:rsidR="004702D8" w:rsidRPr="004702D8">
        <w:rPr>
          <w:rFonts w:asciiTheme="minorHAnsi" w:hAnsiTheme="minorHAnsi" w:cstheme="minorHAnsi"/>
          <w:b/>
        </w:rPr>
        <w:t>ormularza</w:t>
      </w:r>
      <w:r w:rsidR="004702D8">
        <w:rPr>
          <w:rFonts w:asciiTheme="minorHAnsi" w:hAnsiTheme="minorHAnsi" w:cstheme="minorHAnsi"/>
          <w:b/>
        </w:rPr>
        <w:t xml:space="preserve"> szacowania wartości zamówienia</w:t>
      </w:r>
      <w:r w:rsidR="000F13A4" w:rsidRPr="00B660A3">
        <w:rPr>
          <w:rFonts w:asciiTheme="minorHAnsi" w:hAnsiTheme="minorHAnsi" w:cstheme="minorHAnsi"/>
          <w:b/>
        </w:rPr>
        <w:t>:</w:t>
      </w:r>
    </w:p>
    <w:p w:rsidR="007A15A8" w:rsidRDefault="004702D8" w:rsidP="00001B2C">
      <w:pPr>
        <w:pStyle w:val="Nagwek1"/>
        <w:spacing w:after="600" w:line="360" w:lineRule="auto"/>
        <w:jc w:val="center"/>
        <w:rPr>
          <w:rFonts w:eastAsia="Calibri"/>
        </w:rPr>
      </w:pPr>
      <w:r>
        <w:rPr>
          <w:rFonts w:eastAsia="Calibri"/>
        </w:rPr>
        <w:t>Założenia zamówienia</w:t>
      </w:r>
    </w:p>
    <w:p w:rsidR="002B5AEE" w:rsidRPr="002B5AEE" w:rsidRDefault="000F13A4" w:rsidP="008006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 xml:space="preserve">Zakres podmiotowy zamówienia. Usługa przeprowadzenia </w:t>
      </w:r>
      <w:r w:rsidR="00EE5CD4">
        <w:rPr>
          <w:rFonts w:asciiTheme="minorHAnsi" w:hAnsiTheme="minorHAnsi" w:cstheme="minorHAnsi"/>
          <w:sz w:val="24"/>
          <w:szCs w:val="24"/>
        </w:rPr>
        <w:t xml:space="preserve">doradztwa i </w:t>
      </w:r>
      <w:r w:rsidRPr="00B238B6">
        <w:rPr>
          <w:rFonts w:asciiTheme="minorHAnsi" w:hAnsiTheme="minorHAnsi" w:cstheme="minorHAnsi"/>
          <w:sz w:val="24"/>
          <w:szCs w:val="24"/>
        </w:rPr>
        <w:t>specjalistycznych badań i testów dostępności cyfrowej (a</w:t>
      </w:r>
      <w:r w:rsidR="002B5AEE">
        <w:rPr>
          <w:rFonts w:asciiTheme="minorHAnsi" w:hAnsiTheme="minorHAnsi" w:cstheme="minorHAnsi"/>
          <w:sz w:val="24"/>
          <w:szCs w:val="24"/>
        </w:rPr>
        <w:t xml:space="preserve">udytu) będzie dotyczyła nowej odsłony Lokalnego Systemu Informatycznego. Obecna wersja systemu funkcjonuje pod adresem: </w:t>
      </w:r>
      <w:hyperlink r:id="rId9" w:history="1">
        <w:r w:rsidR="002B5AEE" w:rsidRPr="002B5AEE">
          <w:rPr>
            <w:rStyle w:val="Hipercze"/>
            <w:rFonts w:asciiTheme="minorHAnsi" w:hAnsiTheme="minorHAnsi" w:cstheme="minorHAnsi"/>
            <w:sz w:val="24"/>
            <w:szCs w:val="24"/>
            <w:lang w:val="en-US"/>
          </w:rPr>
          <w:t>https://lsi1420.parp.gov.pl/home</w:t>
        </w:r>
      </w:hyperlink>
    </w:p>
    <w:p w:rsidR="00AB1B25" w:rsidRPr="00B238B6" w:rsidRDefault="000F13A4" w:rsidP="008006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 xml:space="preserve">Zakres przedmiotowy zamówienia. Przedmiotem zamówienia będzie </w:t>
      </w:r>
    </w:p>
    <w:p w:rsidR="00E94DEB" w:rsidRPr="00EE5CD4" w:rsidRDefault="00E94DEB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EE5CD4">
        <w:rPr>
          <w:rFonts w:asciiTheme="minorHAnsi" w:hAnsiTheme="minorHAnsi" w:cstheme="minorHAnsi"/>
          <w:sz w:val="24"/>
          <w:szCs w:val="24"/>
        </w:rPr>
        <w:t>100 godzin doradztwa eksper</w:t>
      </w:r>
      <w:r w:rsidR="00EE5CD4">
        <w:rPr>
          <w:rFonts w:asciiTheme="minorHAnsi" w:hAnsiTheme="minorHAnsi" w:cstheme="minorHAnsi"/>
          <w:sz w:val="24"/>
          <w:szCs w:val="24"/>
        </w:rPr>
        <w:t xml:space="preserve">ckiego w trakcie trwania umowy, począwszy od dnia podpisania umowy przez okres </w:t>
      </w:r>
      <w:r w:rsidR="00EE5CD4" w:rsidRPr="00EE5CD4">
        <w:rPr>
          <w:rFonts w:asciiTheme="minorHAnsi" w:hAnsiTheme="minorHAnsi" w:cstheme="minorHAnsi"/>
          <w:sz w:val="24"/>
          <w:szCs w:val="24"/>
        </w:rPr>
        <w:t>budowy systemu o którym mowa w p.1 oraz w trakcie trwania audytu</w:t>
      </w:r>
      <w:r w:rsidR="00EE5CD4">
        <w:rPr>
          <w:rFonts w:asciiTheme="minorHAnsi" w:hAnsiTheme="minorHAnsi" w:cstheme="minorHAnsi"/>
          <w:sz w:val="24"/>
          <w:szCs w:val="24"/>
        </w:rPr>
        <w:t>.</w:t>
      </w:r>
    </w:p>
    <w:p w:rsidR="00251546" w:rsidRPr="00EE5CD4" w:rsidRDefault="000F13A4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 xml:space="preserve">audyt dostępności </w:t>
      </w:r>
      <w:r w:rsidR="00E94DEB">
        <w:rPr>
          <w:rFonts w:asciiTheme="minorHAnsi" w:hAnsiTheme="minorHAnsi" w:cstheme="minorHAnsi"/>
          <w:sz w:val="24"/>
          <w:szCs w:val="24"/>
        </w:rPr>
        <w:t>systemu określonego</w:t>
      </w:r>
      <w:r w:rsidRPr="00B238B6">
        <w:rPr>
          <w:rFonts w:asciiTheme="minorHAnsi" w:hAnsiTheme="minorHAnsi" w:cstheme="minorHAnsi"/>
          <w:sz w:val="24"/>
          <w:szCs w:val="24"/>
        </w:rPr>
        <w:t xml:space="preserve"> w p. 1. </w:t>
      </w:r>
      <w:r w:rsidR="00025E22" w:rsidRPr="00B238B6">
        <w:rPr>
          <w:rFonts w:asciiTheme="minorHAnsi" w:hAnsiTheme="minorHAnsi" w:cstheme="minorHAnsi"/>
          <w:sz w:val="24"/>
          <w:szCs w:val="24"/>
        </w:rPr>
        <w:t>pod kątem zgodności z rekomendacjami WCAG 2.1 zawartymi w załączniku do Ustawy z dnia 4 kwietnia 2019 r. o dostępności cyfrowej stron internetowych i aplikacji mobilnych podmiotów publicznych</w:t>
      </w:r>
      <w:r w:rsidR="008D4497" w:rsidRPr="00B238B6">
        <w:rPr>
          <w:rFonts w:asciiTheme="minorHAnsi" w:hAnsiTheme="minorHAnsi" w:cstheme="minorHAnsi"/>
          <w:sz w:val="24"/>
          <w:szCs w:val="24"/>
        </w:rPr>
        <w:t>.</w:t>
      </w:r>
      <w:r w:rsidR="00AB1B25" w:rsidRPr="00B238B6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9281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2693"/>
        <w:gridCol w:w="3686"/>
        <w:gridCol w:w="992"/>
      </w:tblGrid>
      <w:tr w:rsidR="00F16C01" w:rsidRPr="00B660A3" w:rsidTr="00F16C01">
        <w:trPr>
          <w:cantSplit/>
          <w:tblHeader/>
        </w:trPr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001B2C" w:rsidRDefault="00F16C01" w:rsidP="00001B2C">
            <w:pPr>
              <w:spacing w:line="312" w:lineRule="auto"/>
              <w:rPr>
                <w:rFonts w:asciiTheme="minorHAnsi" w:hAnsiTheme="minorHAnsi" w:cstheme="minorHAnsi"/>
                <w:b/>
              </w:rPr>
            </w:pPr>
            <w:r w:rsidRPr="00001B2C">
              <w:rPr>
                <w:rFonts w:asciiTheme="minorHAnsi" w:hAnsiTheme="minorHAnsi" w:cstheme="minorHAnsi"/>
                <w:b/>
              </w:rPr>
              <w:t>Zasada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001B2C" w:rsidRDefault="00F16C01" w:rsidP="00001B2C">
            <w:pPr>
              <w:spacing w:line="312" w:lineRule="auto"/>
              <w:rPr>
                <w:rFonts w:asciiTheme="minorHAnsi" w:hAnsiTheme="minorHAnsi" w:cstheme="minorHAnsi"/>
                <w:b/>
              </w:rPr>
            </w:pPr>
            <w:r w:rsidRPr="00001B2C">
              <w:rPr>
                <w:rFonts w:asciiTheme="minorHAnsi" w:hAnsiTheme="minorHAnsi" w:cstheme="minorHAnsi"/>
                <w:b/>
              </w:rPr>
              <w:t>Wytyczne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001B2C" w:rsidRDefault="00F16C01" w:rsidP="00001B2C">
            <w:pPr>
              <w:spacing w:line="312" w:lineRule="auto"/>
              <w:rPr>
                <w:rFonts w:asciiTheme="minorHAnsi" w:hAnsiTheme="minorHAnsi" w:cstheme="minorHAnsi"/>
                <w:b/>
              </w:rPr>
            </w:pPr>
            <w:r w:rsidRPr="00001B2C">
              <w:rPr>
                <w:rFonts w:asciiTheme="minorHAnsi" w:hAnsiTheme="minorHAnsi" w:cstheme="minorHAnsi"/>
                <w:b/>
              </w:rPr>
              <w:t>Kryterium sukcesu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001B2C" w:rsidRDefault="00F16C01" w:rsidP="00001B2C">
            <w:pPr>
              <w:spacing w:line="312" w:lineRule="auto"/>
              <w:rPr>
                <w:rFonts w:asciiTheme="minorHAnsi" w:hAnsiTheme="minorHAnsi" w:cstheme="minorHAnsi"/>
                <w:b/>
              </w:rPr>
            </w:pPr>
            <w:r w:rsidRPr="00001B2C">
              <w:rPr>
                <w:rFonts w:asciiTheme="minorHAnsi" w:hAnsiTheme="minorHAnsi" w:cstheme="minorHAnsi"/>
                <w:b/>
              </w:rPr>
              <w:t>Poziom</w:t>
            </w:r>
          </w:p>
        </w:tc>
      </w:tr>
      <w:tr w:rsidR="00F16C01" w:rsidRPr="00B660A3" w:rsidTr="00F16C01">
        <w:trPr>
          <w:cantSplit/>
          <w:trHeight w:val="108"/>
        </w:trPr>
        <w:tc>
          <w:tcPr>
            <w:tcW w:w="1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 – Postrzegalność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1.1 – Alternatywa w postaci tekstu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1.1.1 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Treść nietekstowa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  <w:trHeight w:val="1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1.2 – Dostępność mediów zmiennych w czasie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1.2.1 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Tylko audio oraz tylko wideo (nagranie)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1.2.2 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Napisy rozszerzone (nagranie)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1.2.3 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</w:t>
            </w:r>
            <w:proofErr w:type="spellStart"/>
            <w:r w:rsidRPr="00B660A3">
              <w:rPr>
                <w:rFonts w:asciiTheme="minorHAnsi" w:hAnsiTheme="minorHAnsi" w:cstheme="minorHAnsi"/>
              </w:rPr>
              <w:t>Audiodeskrypcja</w:t>
            </w:r>
            <w:proofErr w:type="spellEnd"/>
            <w:r w:rsidRPr="00B660A3">
              <w:rPr>
                <w:rFonts w:asciiTheme="minorHAnsi" w:hAnsiTheme="minorHAnsi" w:cstheme="minorHAnsi"/>
              </w:rPr>
              <w:t xml:space="preserve"> lub alternatywa dla mediów (nagranie)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1.2.5 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</w:t>
            </w:r>
            <w:proofErr w:type="spellStart"/>
            <w:r w:rsidRPr="00B660A3">
              <w:rPr>
                <w:rFonts w:asciiTheme="minorHAnsi" w:hAnsiTheme="minorHAnsi" w:cstheme="minorHAnsi"/>
              </w:rPr>
              <w:t>Audiodeskrypcja</w:t>
            </w:r>
            <w:proofErr w:type="spellEnd"/>
            <w:r w:rsidRPr="00B660A3">
              <w:rPr>
                <w:rFonts w:asciiTheme="minorHAnsi" w:hAnsiTheme="minorHAnsi" w:cstheme="minorHAnsi"/>
              </w:rPr>
              <w:t xml:space="preserve"> (nagranie)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  <w:trHeight w:val="2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1.3 – Możliwość adaptacji</w:t>
            </w:r>
            <w:r w:rsidR="00B238B6">
              <w:rPr>
                <w:rFonts w:asciiTheme="minorHAnsi" w:hAnsiTheme="minorHAnsi" w:cstheme="minorHAnsi"/>
              </w:rPr>
              <w:t xml:space="preserve"> </w:t>
            </w:r>
            <w:r w:rsidRPr="00B660A3">
              <w:rPr>
                <w:rFonts w:asciiTheme="minorHAnsi" w:hAnsiTheme="minorHAnsi" w:cstheme="minorHAnsi"/>
              </w:rPr>
              <w:softHyphen/>
            </w:r>
            <w:r w:rsidRPr="00B660A3">
              <w:rPr>
                <w:rFonts w:asciiTheme="minorHAnsi" w:hAnsiTheme="minorHAnsi" w:cstheme="minorHAnsi"/>
              </w:rPr>
              <w:softHyphen/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Odpowiednia (zrozumiała) prezentacja zawartości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1.3.1 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Informacje i relacje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1.3.2 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Zrozumiała kolejność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1.3.3 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Właściwości zmysłowe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 xml:space="preserve">1.3.4 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Orientacja - wyświetlanie treści w układzie poziomym, jak i pionowym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1.3.5 - Określenie prawidłowej wartości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 xml:space="preserve">1.4 – Możliwość rozróżnienia 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Ułatwienie percepcji treści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1.4.1 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Użycie koloru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1.4.2 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Kontrola odtwarzania dźwięku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1.4.3 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Kontrast (minimalny)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1.4.4 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Zmiana rozmiaru tekstu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1.4.5 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Tekst w postaci grafiki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1.4.10 - Zawijanie tekstu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1.4.11 - Kontrast dla treści niebędących tekstem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1.4.12 - Odstępy w tekście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 xml:space="preserve">1.4.13 - Treści spod kursora lub </w:t>
            </w:r>
            <w:proofErr w:type="spellStart"/>
            <w:r w:rsidRPr="00B660A3">
              <w:rPr>
                <w:rFonts w:asciiTheme="minorHAnsi" w:hAnsiTheme="minorHAnsi" w:cstheme="minorHAnsi"/>
              </w:rPr>
              <w:t>fokusa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  <w:trHeight w:val="179"/>
        </w:trPr>
        <w:tc>
          <w:tcPr>
            <w:tcW w:w="1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 – Funkcjonalność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2.1 – Dostępność z klawiatury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2.1.1 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Klawiatura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2.1.2 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Brak pułapki na klawiaturę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2.1.4 - Jednoliterowe skróty klawiszowe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2.2 – Wystarczająca ilość czasu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2.2.1 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Możliwość dostosowania czasu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2.2.2 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Wstrzymywanie (pauza), zatrzymywanie, ukrywanie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 xml:space="preserve">2.3 – Ataki padaczki 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Migotanie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2.3.1 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Trzy błyski lub wartości poniżej progu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2.4 – Możliwość nawigacji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2.4.1 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Możliwość pominięcia bloków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2.4.2 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Tytuły stron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2.4.3 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Kolejność fokusu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2.4.4 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Cel linku (w kontekście)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2.4.5 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Wiele sposobów na zlokalizowanie strony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2.4.6 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Nagłówki i etykiety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2.4.7 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Widoczny fokus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2.5 – Sposoby wprowadzania danych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2.5.1 - Gesty punktowe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2.5.2 - Anulowanie kliknięcia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2.5.3 - Etykieta w nazwie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2.5.4 - Aktywowanie ruchem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  <w:trHeight w:val="234"/>
        </w:trPr>
        <w:tc>
          <w:tcPr>
            <w:tcW w:w="1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3 – Zrozumiałość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3.1 – Możliwość odczytania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3.1.1 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Język strony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3.1.2 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Język części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3.2 – Przewidywalność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3.2.1 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Po oznaczeniu fokusem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3.2.2 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Podczas wprowadzania danych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3.2.3 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Konsekwentna nawigacja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3.2.4 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Konsekwentna identyfikacja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3.3 – Pomoc przy wprowadzaniu informacji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3.3.1 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Identyfikacja błędu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  <w:trHeight w:val="2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3.3.2 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Etykiety lub instrukcje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3.3.3 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Sugestie korekty błędów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3.3.4 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Zapobieganie błędom (kontekst prawny, finansowy, związany z podawaniem danych)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  <w:tr w:rsidR="00F16C01" w:rsidRPr="00B660A3" w:rsidTr="00F16C01">
        <w:trPr>
          <w:cantSplit/>
          <w:trHeight w:val="278"/>
        </w:trPr>
        <w:tc>
          <w:tcPr>
            <w:tcW w:w="1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4 – Kompatybilność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4.1 – Kompatybilność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4.1.1 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</w:t>
            </w:r>
            <w:proofErr w:type="spellStart"/>
            <w:r w:rsidRPr="00B660A3">
              <w:rPr>
                <w:rFonts w:asciiTheme="minorHAnsi" w:hAnsiTheme="minorHAnsi" w:cstheme="minorHAnsi"/>
              </w:rPr>
              <w:t>Parsowanie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4.1.2 </w:t>
            </w:r>
            <w:r w:rsidRPr="00B660A3">
              <w:rPr>
                <w:rFonts w:asciiTheme="minorHAnsi" w:hAnsiTheme="minorHAnsi" w:cstheme="minorHAnsi"/>
              </w:rPr>
              <w:noBreakHyphen/>
              <w:t xml:space="preserve"> Nazwa, rola, wartość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</w:t>
            </w:r>
          </w:p>
        </w:tc>
      </w:tr>
      <w:tr w:rsidR="00F16C01" w:rsidRPr="00B660A3" w:rsidTr="00F16C01">
        <w:trPr>
          <w:cantSplit/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4.1.3 - Komunikaty o stanie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6C01" w:rsidRPr="00B660A3" w:rsidRDefault="00F16C01" w:rsidP="00001B2C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B660A3">
              <w:rPr>
                <w:rFonts w:asciiTheme="minorHAnsi" w:hAnsiTheme="minorHAnsi" w:cstheme="minorHAnsi"/>
              </w:rPr>
              <w:t>AA</w:t>
            </w:r>
          </w:p>
        </w:tc>
      </w:tr>
    </w:tbl>
    <w:p w:rsidR="00AB1B25" w:rsidRPr="00B660A3" w:rsidRDefault="00AB1B25" w:rsidP="00001B2C">
      <w:pPr>
        <w:spacing w:line="312" w:lineRule="auto"/>
        <w:rPr>
          <w:rFonts w:asciiTheme="minorHAnsi" w:eastAsiaTheme="minorHAnsi" w:hAnsiTheme="minorHAnsi" w:cstheme="minorHAnsi"/>
        </w:rPr>
      </w:pPr>
    </w:p>
    <w:p w:rsidR="00AB1B25" w:rsidRPr="00B660A3" w:rsidRDefault="00AB1B25" w:rsidP="00001B2C">
      <w:pPr>
        <w:spacing w:line="312" w:lineRule="auto"/>
        <w:rPr>
          <w:rFonts w:asciiTheme="minorHAnsi" w:eastAsiaTheme="minorHAnsi" w:hAnsiTheme="minorHAnsi" w:cstheme="minorHAnsi"/>
        </w:rPr>
      </w:pPr>
      <w:r w:rsidRPr="00B660A3">
        <w:rPr>
          <w:rFonts w:asciiTheme="minorHAnsi" w:eastAsiaTheme="minorHAnsi" w:hAnsiTheme="minorHAnsi" w:cstheme="minorHAnsi"/>
        </w:rPr>
        <w:t xml:space="preserve">Szczegółowe zalecenia w zakresie dostępności dla osób niepełnosprawnych określone przez standard Web Content Accessibility </w:t>
      </w:r>
      <w:proofErr w:type="spellStart"/>
      <w:r w:rsidRPr="00B660A3">
        <w:rPr>
          <w:rFonts w:asciiTheme="minorHAnsi" w:eastAsiaTheme="minorHAnsi" w:hAnsiTheme="minorHAnsi" w:cstheme="minorHAnsi"/>
        </w:rPr>
        <w:t>Guidelines</w:t>
      </w:r>
      <w:proofErr w:type="spellEnd"/>
      <w:r w:rsidRPr="00B660A3">
        <w:rPr>
          <w:rFonts w:asciiTheme="minorHAnsi" w:eastAsiaTheme="minorHAnsi" w:hAnsiTheme="minorHAnsi" w:cstheme="minorHAnsi"/>
        </w:rPr>
        <w:t xml:space="preserve"> 2.1 (WCAG) można znaleźć w języku angielskim, w Internecie pod adresem </w:t>
      </w:r>
      <w:hyperlink r:id="rId10" w:history="1">
        <w:r w:rsidRPr="00B660A3">
          <w:rPr>
            <w:rStyle w:val="Hipercze"/>
            <w:rFonts w:asciiTheme="minorHAnsi" w:eastAsiaTheme="minorHAnsi" w:hAnsiTheme="minorHAnsi" w:cstheme="minorHAnsi"/>
          </w:rPr>
          <w:t>https://www.w3.org/TR/WCAG21/</w:t>
        </w:r>
      </w:hyperlink>
      <w:r w:rsidRPr="00B660A3">
        <w:rPr>
          <w:rFonts w:asciiTheme="minorHAnsi" w:eastAsiaTheme="minorHAnsi" w:hAnsiTheme="minorHAnsi" w:cstheme="minorHAnsi"/>
        </w:rPr>
        <w:t>.</w:t>
      </w:r>
    </w:p>
    <w:p w:rsidR="00AB1B25" w:rsidRPr="00B238B6" w:rsidRDefault="00AB1B25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>Audyt zostanie zrealizowany w trzystopniowej procedurze gwarantującej pełne zbadanie dostępności i zgodności z zaleceniami WCAG 2.1 na poziomie zgodnie z powyższą tabelą:</w:t>
      </w:r>
    </w:p>
    <w:p w:rsidR="00AB1B25" w:rsidRPr="00B238B6" w:rsidRDefault="00AB1B25" w:rsidP="008006B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>Badanie automatyczne – opisane szczegółowo w p. 3</w:t>
      </w:r>
    </w:p>
    <w:p w:rsidR="00AB1B25" w:rsidRPr="00B238B6" w:rsidRDefault="00AB1B25" w:rsidP="008006B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>Badanie eksperckie – opisane szczegółowo w p. 4</w:t>
      </w:r>
    </w:p>
    <w:p w:rsidR="00AB1B25" w:rsidRPr="00B238B6" w:rsidRDefault="00AB1B25" w:rsidP="008006B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 xml:space="preserve">Badanie </w:t>
      </w:r>
      <w:proofErr w:type="spellStart"/>
      <w:r w:rsidRPr="00B238B6">
        <w:rPr>
          <w:rFonts w:asciiTheme="minorHAnsi" w:hAnsiTheme="minorHAnsi" w:cstheme="minorHAnsi"/>
          <w:sz w:val="24"/>
          <w:szCs w:val="24"/>
        </w:rPr>
        <w:t>testerskie</w:t>
      </w:r>
      <w:proofErr w:type="spellEnd"/>
      <w:r w:rsidRPr="00B238B6">
        <w:rPr>
          <w:rFonts w:asciiTheme="minorHAnsi" w:hAnsiTheme="minorHAnsi" w:cstheme="minorHAnsi"/>
          <w:sz w:val="24"/>
          <w:szCs w:val="24"/>
        </w:rPr>
        <w:t xml:space="preserve"> – opisane szczegółowo w p. 5</w:t>
      </w:r>
    </w:p>
    <w:p w:rsidR="00AB1B25" w:rsidRPr="00B238B6" w:rsidRDefault="001A7E33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>Re</w:t>
      </w:r>
      <w:r w:rsidR="00AB1B25" w:rsidRPr="00B238B6">
        <w:rPr>
          <w:rFonts w:asciiTheme="minorHAnsi" w:hAnsiTheme="minorHAnsi" w:cstheme="minorHAnsi"/>
          <w:sz w:val="24"/>
          <w:szCs w:val="24"/>
        </w:rPr>
        <w:t>testy</w:t>
      </w:r>
      <w:r w:rsidRPr="00B238B6">
        <w:rPr>
          <w:rFonts w:asciiTheme="minorHAnsi" w:hAnsiTheme="minorHAnsi" w:cstheme="minorHAnsi"/>
          <w:sz w:val="24"/>
          <w:szCs w:val="24"/>
        </w:rPr>
        <w:t xml:space="preserve"> – opisane szczegółowo w p. 6</w:t>
      </w:r>
    </w:p>
    <w:p w:rsidR="006B7757" w:rsidRPr="00B660A3" w:rsidRDefault="006B7757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 xml:space="preserve">Stworzenie dla </w:t>
      </w:r>
      <w:r w:rsidR="00E94DEB">
        <w:rPr>
          <w:rFonts w:asciiTheme="minorHAnsi" w:hAnsiTheme="minorHAnsi" w:cstheme="minorHAnsi"/>
          <w:sz w:val="24"/>
          <w:szCs w:val="24"/>
        </w:rPr>
        <w:t>systemu określonego</w:t>
      </w:r>
      <w:r w:rsidR="00E94DEB" w:rsidRPr="00B238B6">
        <w:rPr>
          <w:rFonts w:asciiTheme="minorHAnsi" w:hAnsiTheme="minorHAnsi" w:cstheme="minorHAnsi"/>
          <w:sz w:val="24"/>
          <w:szCs w:val="24"/>
        </w:rPr>
        <w:t xml:space="preserve"> </w:t>
      </w:r>
      <w:r w:rsidR="00E94DEB">
        <w:rPr>
          <w:rFonts w:asciiTheme="minorHAnsi" w:hAnsiTheme="minorHAnsi" w:cstheme="minorHAnsi"/>
          <w:sz w:val="24"/>
          <w:szCs w:val="24"/>
        </w:rPr>
        <w:t xml:space="preserve">w p. 1 </w:t>
      </w:r>
      <w:r w:rsidRPr="00B238B6">
        <w:rPr>
          <w:rFonts w:asciiTheme="minorHAnsi" w:hAnsiTheme="minorHAnsi" w:cstheme="minorHAnsi"/>
          <w:sz w:val="24"/>
          <w:szCs w:val="24"/>
        </w:rPr>
        <w:t>deklaracji dostępności zgodnej z wymaganiami zawartymi w Art. 10 Ustawy z dnia 4 kwietnia 2019 r. o dostępności cyfrowej stron internetowych</w:t>
      </w:r>
      <w:r w:rsidRPr="00B660A3">
        <w:rPr>
          <w:rFonts w:asciiTheme="minorHAnsi" w:hAnsiTheme="minorHAnsi" w:cstheme="minorHAnsi"/>
          <w:sz w:val="24"/>
          <w:szCs w:val="24"/>
        </w:rPr>
        <w:t xml:space="preserve"> i aplikacji mobilnych podmiotów </w:t>
      </w:r>
      <w:r w:rsidRPr="00B660A3">
        <w:rPr>
          <w:rFonts w:asciiTheme="minorHAnsi" w:hAnsiTheme="minorHAnsi" w:cstheme="minorHAnsi"/>
          <w:sz w:val="24"/>
          <w:szCs w:val="24"/>
        </w:rPr>
        <w:lastRenderedPageBreak/>
        <w:t>publicznych (oraz dostosowanie jej do wzoru po spełnieniu przez właściwego Ministra wymagania określonego w Art. 12 tejże Ustawy) oraz wystawienie certyfikatu zgodności z wymogami Ustawy.</w:t>
      </w:r>
    </w:p>
    <w:p w:rsidR="00A442C7" w:rsidRPr="00B238B6" w:rsidRDefault="00025E22" w:rsidP="008006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>Pierwszym etapem audytu będzie badanie automatyczne z użyciem narzędzia</w:t>
      </w:r>
      <w:r w:rsidR="008D4497" w:rsidRPr="00B238B6">
        <w:rPr>
          <w:rFonts w:asciiTheme="minorHAnsi" w:hAnsiTheme="minorHAnsi" w:cstheme="minorHAnsi"/>
          <w:sz w:val="24"/>
          <w:szCs w:val="24"/>
        </w:rPr>
        <w:t>/narzędzi</w:t>
      </w:r>
      <w:r w:rsidRPr="00B238B6">
        <w:rPr>
          <w:rFonts w:asciiTheme="minorHAnsi" w:hAnsiTheme="minorHAnsi" w:cstheme="minorHAnsi"/>
          <w:sz w:val="24"/>
          <w:szCs w:val="24"/>
        </w:rPr>
        <w:t xml:space="preserve"> do automatycznego wykrycia błędów dostępności</w:t>
      </w:r>
      <w:r w:rsidR="008D4497" w:rsidRPr="00B238B6">
        <w:rPr>
          <w:rFonts w:asciiTheme="minorHAnsi" w:hAnsiTheme="minorHAnsi" w:cstheme="minorHAnsi"/>
          <w:sz w:val="24"/>
          <w:szCs w:val="24"/>
        </w:rPr>
        <w:t xml:space="preserve">, gwarantujących </w:t>
      </w:r>
      <w:r w:rsidR="008D4497" w:rsidRPr="00B238B6">
        <w:rPr>
          <w:rFonts w:asciiTheme="minorHAnsi" w:hAnsiTheme="minorHAnsi"/>
          <w:sz w:val="24"/>
          <w:szCs w:val="24"/>
        </w:rPr>
        <w:t xml:space="preserve">obsługę wszystkich kryteriów określonych w tabeli p. 2.1. </w:t>
      </w:r>
    </w:p>
    <w:p w:rsidR="00A442C7" w:rsidRPr="00B238B6" w:rsidRDefault="00A442C7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 xml:space="preserve">Audyt zostanie zrealizowany co najmniej narzędziami wskazanymi w ofercie, a w </w:t>
      </w:r>
      <w:r w:rsidR="008D4497" w:rsidRPr="00B238B6">
        <w:rPr>
          <w:rFonts w:asciiTheme="minorHAnsi" w:hAnsiTheme="minorHAnsi"/>
          <w:sz w:val="24"/>
          <w:szCs w:val="24"/>
        </w:rPr>
        <w:t>przypadku gdy narzędzia zaproponowane przez Wykonawcę w Ofercie nie pozwolą na weryfikację wszystkich w/w kryteriów Wykonawca zaproponuje dodatkowe narzędzie/narzędzia do testów automatycznych</w:t>
      </w:r>
    </w:p>
    <w:p w:rsidR="00025E22" w:rsidRPr="00B238B6" w:rsidRDefault="00025E22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>Wynik tego badania, z którego uproszczony raport Wykonawca przedstawi Zamawiającemu, będzie podstawą do przedstawienia przez Wykonawcę Zamawiającemu selekcji podstron serwisu, na których zostanie zrealizowany kolejny etap audytu</w:t>
      </w:r>
      <w:r w:rsidR="00E73452" w:rsidRPr="00B238B6">
        <w:rPr>
          <w:rFonts w:asciiTheme="minorHAnsi" w:hAnsiTheme="minorHAnsi" w:cstheme="minorHAnsi"/>
          <w:sz w:val="24"/>
          <w:szCs w:val="24"/>
        </w:rPr>
        <w:t xml:space="preserve">, lista ta musi zawierać co najmniej strony i ścieżki wskazane w p. </w:t>
      </w:r>
      <w:r w:rsidR="001A7E33" w:rsidRPr="00B238B6">
        <w:rPr>
          <w:rFonts w:asciiTheme="minorHAnsi" w:hAnsiTheme="minorHAnsi" w:cstheme="minorHAnsi"/>
          <w:sz w:val="24"/>
          <w:szCs w:val="24"/>
        </w:rPr>
        <w:t>7</w:t>
      </w:r>
      <w:r w:rsidRPr="00B238B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442C7" w:rsidRPr="00B238B6" w:rsidRDefault="00025E22" w:rsidP="008006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 xml:space="preserve">Drugim etapem audytu będzie badanie serwisu przez doświadczonego audytora technicznego. </w:t>
      </w:r>
    </w:p>
    <w:p w:rsidR="00A442C7" w:rsidRPr="00B660A3" w:rsidRDefault="00025E22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 xml:space="preserve">Wskazane </w:t>
      </w:r>
      <w:r w:rsidR="00A442C7" w:rsidRPr="00B238B6">
        <w:rPr>
          <w:rFonts w:asciiTheme="minorHAnsi" w:hAnsiTheme="minorHAnsi" w:cstheme="minorHAnsi"/>
          <w:sz w:val="24"/>
          <w:szCs w:val="24"/>
        </w:rPr>
        <w:t xml:space="preserve">w poprzednim etapie </w:t>
      </w:r>
      <w:r w:rsidRPr="00B238B6">
        <w:rPr>
          <w:rFonts w:asciiTheme="minorHAnsi" w:hAnsiTheme="minorHAnsi" w:cstheme="minorHAnsi"/>
          <w:sz w:val="24"/>
          <w:szCs w:val="24"/>
        </w:rPr>
        <w:t>podstrony serwisu zostaną skontrolowane pod kątem dostępności cyfrowej przez audytora znającego zarówno techniki budowy stron internetowych jak i zalecenia WCAG 2.</w:t>
      </w:r>
      <w:r w:rsidR="000F13A4" w:rsidRPr="00B238B6">
        <w:rPr>
          <w:rFonts w:asciiTheme="minorHAnsi" w:hAnsiTheme="minorHAnsi" w:cstheme="minorHAnsi"/>
          <w:sz w:val="24"/>
          <w:szCs w:val="24"/>
        </w:rPr>
        <w:t>1</w:t>
      </w:r>
      <w:r w:rsidRPr="00B238B6">
        <w:rPr>
          <w:rFonts w:asciiTheme="minorHAnsi" w:hAnsiTheme="minorHAnsi" w:cstheme="minorHAnsi"/>
          <w:sz w:val="24"/>
          <w:szCs w:val="24"/>
        </w:rPr>
        <w:t>. Przed przystąpieniem do badań wykonawca przedstawi Zamawiającemu do zatwierdzenia sposób (metodykę), jaką zastosuje podczas badania dostępności cyfrowej</w:t>
      </w:r>
      <w:r w:rsidRPr="00B660A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442C7" w:rsidRPr="00B660A3" w:rsidRDefault="00025E22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60A3">
        <w:rPr>
          <w:rFonts w:asciiTheme="minorHAnsi" w:hAnsiTheme="minorHAnsi" w:cstheme="minorHAnsi"/>
          <w:sz w:val="24"/>
          <w:szCs w:val="24"/>
        </w:rPr>
        <w:t xml:space="preserve">Wszystkie badania dostępności cyfrowej będą wykonywane, tam gdzie jest to niezbędne, również za pomocą najczęściej używanych czytników ekranu, programów powiększających i urządzeń mobilnych. </w:t>
      </w:r>
      <w:r w:rsidR="00A442C7" w:rsidRPr="00B660A3">
        <w:rPr>
          <w:rFonts w:asciiTheme="minorHAnsi" w:hAnsiTheme="minorHAnsi" w:cstheme="minorHAnsi"/>
          <w:sz w:val="24"/>
          <w:szCs w:val="24"/>
        </w:rPr>
        <w:t>Wykonawca przedstawi dane statystyczne uwiarygadniające zastosowanie wybranych urządzeń.</w:t>
      </w:r>
    </w:p>
    <w:p w:rsidR="00A442C7" w:rsidRPr="00B660A3" w:rsidRDefault="00025E22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60A3">
        <w:rPr>
          <w:rFonts w:asciiTheme="minorHAnsi" w:hAnsiTheme="minorHAnsi" w:cstheme="minorHAnsi"/>
          <w:sz w:val="24"/>
          <w:szCs w:val="24"/>
        </w:rPr>
        <w:t xml:space="preserve">Wykonawca </w:t>
      </w:r>
      <w:r w:rsidR="00A442C7" w:rsidRPr="00B660A3">
        <w:rPr>
          <w:rFonts w:asciiTheme="minorHAnsi" w:hAnsiTheme="minorHAnsi" w:cstheme="minorHAnsi"/>
          <w:sz w:val="24"/>
          <w:szCs w:val="24"/>
        </w:rPr>
        <w:t xml:space="preserve">przed przystąpieniem do badań eksperckich </w:t>
      </w:r>
      <w:r w:rsidRPr="00B660A3">
        <w:rPr>
          <w:rFonts w:asciiTheme="minorHAnsi" w:hAnsiTheme="minorHAnsi" w:cstheme="minorHAnsi"/>
          <w:sz w:val="24"/>
          <w:szCs w:val="24"/>
        </w:rPr>
        <w:t>uzgodni z Zamawiającym zakres urządzeń i oprogramowania które zostanie użyte w badaniach dostępności.</w:t>
      </w:r>
    </w:p>
    <w:p w:rsidR="00025E22" w:rsidRPr="00B238B6" w:rsidRDefault="00025E22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60A3">
        <w:rPr>
          <w:rFonts w:asciiTheme="minorHAnsi" w:hAnsiTheme="minorHAnsi" w:cstheme="minorHAnsi"/>
          <w:sz w:val="24"/>
          <w:szCs w:val="24"/>
        </w:rPr>
        <w:t>Raport z audytu eksperckiego będzie zawierał, w każdym przypadku</w:t>
      </w:r>
      <w:r w:rsidR="006B7757" w:rsidRPr="00B660A3">
        <w:rPr>
          <w:rFonts w:asciiTheme="minorHAnsi" w:hAnsiTheme="minorHAnsi" w:cstheme="minorHAnsi"/>
          <w:sz w:val="24"/>
          <w:szCs w:val="24"/>
        </w:rPr>
        <w:t xml:space="preserve"> jednoznaczne i precyzyjne</w:t>
      </w:r>
      <w:r w:rsidRPr="00B660A3">
        <w:rPr>
          <w:rFonts w:asciiTheme="minorHAnsi" w:hAnsiTheme="minorHAnsi" w:cstheme="minorHAnsi"/>
          <w:sz w:val="24"/>
          <w:szCs w:val="24"/>
        </w:rPr>
        <w:t xml:space="preserve"> stwierdzenia błędu w dostępności cyfrowej, </w:t>
      </w:r>
      <w:r w:rsidRPr="00B238B6">
        <w:rPr>
          <w:rFonts w:asciiTheme="minorHAnsi" w:hAnsiTheme="minorHAnsi" w:cstheme="minorHAnsi"/>
          <w:sz w:val="24"/>
          <w:szCs w:val="24"/>
        </w:rPr>
        <w:t>wyczerpujące rekomendacje techniczne wskazujące sposób, w jaki należy postępować by usunąć wskazany błąd.</w:t>
      </w:r>
    </w:p>
    <w:p w:rsidR="006C025E" w:rsidRPr="00B660A3" w:rsidRDefault="00025E22" w:rsidP="008006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238B6">
        <w:rPr>
          <w:rFonts w:asciiTheme="minorHAnsi" w:hAnsiTheme="minorHAnsi" w:cstheme="minorHAnsi"/>
          <w:sz w:val="24"/>
          <w:szCs w:val="24"/>
        </w:rPr>
        <w:t xml:space="preserve">Trzecim etapem audytu będzie badanie </w:t>
      </w:r>
      <w:proofErr w:type="spellStart"/>
      <w:r w:rsidRPr="00B238B6">
        <w:rPr>
          <w:rFonts w:asciiTheme="minorHAnsi" w:hAnsiTheme="minorHAnsi" w:cstheme="minorHAnsi"/>
          <w:sz w:val="24"/>
          <w:szCs w:val="24"/>
        </w:rPr>
        <w:t>testerskie</w:t>
      </w:r>
      <w:proofErr w:type="spellEnd"/>
      <w:r w:rsidR="00E94DEB">
        <w:rPr>
          <w:rFonts w:asciiTheme="minorHAnsi" w:hAnsiTheme="minorHAnsi" w:cstheme="minorHAnsi"/>
          <w:sz w:val="24"/>
          <w:szCs w:val="24"/>
        </w:rPr>
        <w:t xml:space="preserve">, czyli sprawdzenie stron </w:t>
      </w:r>
      <w:r w:rsidR="00E94DEB" w:rsidRPr="00B238B6">
        <w:rPr>
          <w:rFonts w:asciiTheme="minorHAnsi" w:hAnsiTheme="minorHAnsi" w:cstheme="minorHAnsi"/>
          <w:sz w:val="24"/>
          <w:szCs w:val="24"/>
        </w:rPr>
        <w:t xml:space="preserve">dla </w:t>
      </w:r>
      <w:r w:rsidR="00E94DEB">
        <w:rPr>
          <w:rFonts w:asciiTheme="minorHAnsi" w:hAnsiTheme="minorHAnsi" w:cstheme="minorHAnsi"/>
          <w:sz w:val="24"/>
          <w:szCs w:val="24"/>
        </w:rPr>
        <w:t>systemu</w:t>
      </w:r>
      <w:r w:rsidR="006C025E" w:rsidRPr="00B238B6">
        <w:rPr>
          <w:rFonts w:asciiTheme="minorHAnsi" w:hAnsiTheme="minorHAnsi" w:cstheme="minorHAnsi"/>
          <w:sz w:val="24"/>
          <w:szCs w:val="24"/>
        </w:rPr>
        <w:t xml:space="preserve"> </w:t>
      </w:r>
      <w:r w:rsidR="006C025E" w:rsidRPr="00B238B6">
        <w:rPr>
          <w:rStyle w:val="Odwoaniedokomentarza"/>
          <w:rFonts w:asciiTheme="minorHAnsi" w:hAnsiTheme="minorHAnsi"/>
          <w:sz w:val="24"/>
          <w:szCs w:val="24"/>
        </w:rPr>
        <w:t>(co najmniej wskazanych</w:t>
      </w:r>
      <w:r w:rsidR="006C025E" w:rsidRPr="00B660A3">
        <w:rPr>
          <w:rStyle w:val="Odwoaniedokomentarza"/>
          <w:rFonts w:asciiTheme="minorHAnsi" w:hAnsiTheme="minorHAnsi"/>
          <w:sz w:val="24"/>
          <w:szCs w:val="24"/>
        </w:rPr>
        <w:t xml:space="preserve"> w p. </w:t>
      </w:r>
      <w:r w:rsidR="001A7E33" w:rsidRPr="00B660A3">
        <w:rPr>
          <w:rStyle w:val="Odwoaniedokomentarza"/>
          <w:rFonts w:asciiTheme="minorHAnsi" w:hAnsiTheme="minorHAnsi"/>
          <w:sz w:val="24"/>
          <w:szCs w:val="24"/>
        </w:rPr>
        <w:t>7</w:t>
      </w:r>
      <w:r w:rsidR="006C025E" w:rsidRPr="00B660A3">
        <w:rPr>
          <w:rStyle w:val="Odwoaniedokomentarza"/>
          <w:rFonts w:asciiTheme="minorHAnsi" w:hAnsiTheme="minorHAnsi"/>
          <w:sz w:val="24"/>
          <w:szCs w:val="24"/>
        </w:rPr>
        <w:t>)</w:t>
      </w:r>
      <w:r w:rsidRPr="00B660A3">
        <w:rPr>
          <w:rFonts w:asciiTheme="minorHAnsi" w:hAnsiTheme="minorHAnsi" w:cstheme="minorHAnsi"/>
          <w:sz w:val="24"/>
          <w:szCs w:val="24"/>
        </w:rPr>
        <w:t xml:space="preserve"> przez użytkowników z różnymi rodzajami </w:t>
      </w:r>
      <w:r w:rsidRPr="00B660A3">
        <w:rPr>
          <w:rFonts w:asciiTheme="minorHAnsi" w:hAnsiTheme="minorHAnsi" w:cstheme="minorHAnsi"/>
          <w:sz w:val="24"/>
          <w:szCs w:val="24"/>
        </w:rPr>
        <w:lastRenderedPageBreak/>
        <w:t xml:space="preserve">niepełnosprawności zgodnie ze wskazaniami audytora technicznego realizującego drugi etap badania. </w:t>
      </w:r>
    </w:p>
    <w:p w:rsidR="006C025E" w:rsidRPr="00B660A3" w:rsidRDefault="00025E22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60A3">
        <w:rPr>
          <w:rFonts w:asciiTheme="minorHAnsi" w:hAnsiTheme="minorHAnsi" w:cstheme="minorHAnsi"/>
          <w:sz w:val="24"/>
          <w:szCs w:val="24"/>
        </w:rPr>
        <w:t xml:space="preserve">Wykonawca przygotuje scenariusze badań </w:t>
      </w:r>
      <w:proofErr w:type="spellStart"/>
      <w:r w:rsidRPr="00B660A3">
        <w:rPr>
          <w:rFonts w:asciiTheme="minorHAnsi" w:hAnsiTheme="minorHAnsi" w:cstheme="minorHAnsi"/>
          <w:sz w:val="24"/>
          <w:szCs w:val="24"/>
        </w:rPr>
        <w:t>testerskich</w:t>
      </w:r>
      <w:proofErr w:type="spellEnd"/>
      <w:r w:rsidRPr="00B660A3">
        <w:rPr>
          <w:rFonts w:asciiTheme="minorHAnsi" w:hAnsiTheme="minorHAnsi" w:cstheme="minorHAnsi"/>
          <w:sz w:val="24"/>
          <w:szCs w:val="24"/>
        </w:rPr>
        <w:t xml:space="preserve">, które przedstawi </w:t>
      </w:r>
      <w:r w:rsidR="00847388" w:rsidRPr="00B660A3">
        <w:rPr>
          <w:rFonts w:asciiTheme="minorHAnsi" w:hAnsiTheme="minorHAnsi" w:cstheme="minorHAnsi"/>
          <w:sz w:val="24"/>
          <w:szCs w:val="24"/>
        </w:rPr>
        <w:t>Zamawiającemu do zatwierdzenia.</w:t>
      </w:r>
    </w:p>
    <w:p w:rsidR="006C025E" w:rsidRPr="00B660A3" w:rsidRDefault="00025E22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60A3">
        <w:rPr>
          <w:rFonts w:asciiTheme="minorHAnsi" w:hAnsiTheme="minorHAnsi" w:cstheme="minorHAnsi"/>
          <w:sz w:val="24"/>
          <w:szCs w:val="24"/>
        </w:rPr>
        <w:t xml:space="preserve">W badaniach </w:t>
      </w:r>
      <w:proofErr w:type="spellStart"/>
      <w:r w:rsidRPr="00B660A3">
        <w:rPr>
          <w:rFonts w:asciiTheme="minorHAnsi" w:hAnsiTheme="minorHAnsi" w:cstheme="minorHAnsi"/>
          <w:sz w:val="24"/>
          <w:szCs w:val="24"/>
        </w:rPr>
        <w:t>testerskich</w:t>
      </w:r>
      <w:proofErr w:type="spellEnd"/>
      <w:r w:rsidRPr="00B660A3">
        <w:rPr>
          <w:rFonts w:asciiTheme="minorHAnsi" w:hAnsiTheme="minorHAnsi" w:cstheme="minorHAnsi"/>
          <w:sz w:val="24"/>
          <w:szCs w:val="24"/>
        </w:rPr>
        <w:t xml:space="preserve"> wezmą udział testerzy: </w:t>
      </w:r>
    </w:p>
    <w:p w:rsidR="006C025E" w:rsidRPr="00B660A3" w:rsidRDefault="006C025E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60A3">
        <w:rPr>
          <w:rFonts w:asciiTheme="minorHAnsi" w:hAnsiTheme="minorHAnsi" w:cstheme="minorHAnsi"/>
          <w:sz w:val="24"/>
          <w:szCs w:val="24"/>
        </w:rPr>
        <w:t>n</w:t>
      </w:r>
      <w:r w:rsidR="00025E22" w:rsidRPr="00B660A3">
        <w:rPr>
          <w:rFonts w:asciiTheme="minorHAnsi" w:hAnsiTheme="minorHAnsi" w:cstheme="minorHAnsi"/>
          <w:sz w:val="24"/>
          <w:szCs w:val="24"/>
        </w:rPr>
        <w:t>iewidomi,</w:t>
      </w:r>
      <w:r w:rsidRPr="00B660A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C025E" w:rsidRPr="00B660A3" w:rsidRDefault="006C025E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60A3">
        <w:rPr>
          <w:rFonts w:asciiTheme="minorHAnsi" w:hAnsiTheme="minorHAnsi" w:cstheme="minorHAnsi"/>
          <w:sz w:val="24"/>
          <w:szCs w:val="24"/>
        </w:rPr>
        <w:t xml:space="preserve">słabowidzący, </w:t>
      </w:r>
    </w:p>
    <w:p w:rsidR="006C025E" w:rsidRPr="00B660A3" w:rsidRDefault="006C025E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60A3">
        <w:rPr>
          <w:rFonts w:asciiTheme="minorHAnsi" w:hAnsiTheme="minorHAnsi" w:cstheme="minorHAnsi"/>
          <w:sz w:val="24"/>
          <w:szCs w:val="24"/>
        </w:rPr>
        <w:t>n</w:t>
      </w:r>
      <w:r w:rsidR="00025E22" w:rsidRPr="00B660A3">
        <w:rPr>
          <w:rFonts w:asciiTheme="minorHAnsi" w:hAnsiTheme="minorHAnsi" w:cstheme="minorHAnsi"/>
          <w:sz w:val="24"/>
          <w:szCs w:val="24"/>
        </w:rPr>
        <w:t>iesłyszący,</w:t>
      </w:r>
      <w:r w:rsidRPr="00B660A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C025E" w:rsidRPr="00B660A3" w:rsidRDefault="006C025E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60A3">
        <w:rPr>
          <w:rFonts w:asciiTheme="minorHAnsi" w:hAnsiTheme="minorHAnsi" w:cstheme="minorHAnsi"/>
          <w:sz w:val="24"/>
          <w:szCs w:val="24"/>
        </w:rPr>
        <w:t>u</w:t>
      </w:r>
      <w:r w:rsidR="00EE5CD4">
        <w:rPr>
          <w:rFonts w:asciiTheme="minorHAnsi" w:hAnsiTheme="minorHAnsi" w:cstheme="minorHAnsi"/>
          <w:sz w:val="24"/>
          <w:szCs w:val="24"/>
        </w:rPr>
        <w:t>żywający tylko klawiatury.</w:t>
      </w:r>
    </w:p>
    <w:p w:rsidR="00025E22" w:rsidRPr="00EE5CD4" w:rsidRDefault="00025E22" w:rsidP="00001B2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</w:p>
    <w:p w:rsidR="001A7E33" w:rsidRPr="00B660A3" w:rsidRDefault="00025E22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60A3">
        <w:rPr>
          <w:rFonts w:asciiTheme="minorHAnsi" w:hAnsiTheme="minorHAnsi" w:cstheme="minorHAnsi"/>
          <w:sz w:val="24"/>
          <w:szCs w:val="24"/>
        </w:rPr>
        <w:t xml:space="preserve">Efektem badania </w:t>
      </w:r>
      <w:proofErr w:type="spellStart"/>
      <w:r w:rsidRPr="00B660A3">
        <w:rPr>
          <w:rFonts w:asciiTheme="minorHAnsi" w:hAnsiTheme="minorHAnsi" w:cstheme="minorHAnsi"/>
          <w:sz w:val="24"/>
          <w:szCs w:val="24"/>
        </w:rPr>
        <w:t>testerskiego</w:t>
      </w:r>
      <w:proofErr w:type="spellEnd"/>
      <w:r w:rsidRPr="00B660A3">
        <w:rPr>
          <w:rFonts w:asciiTheme="minorHAnsi" w:hAnsiTheme="minorHAnsi" w:cstheme="minorHAnsi"/>
          <w:sz w:val="24"/>
          <w:szCs w:val="24"/>
        </w:rPr>
        <w:t xml:space="preserve"> będzie raport z badania </w:t>
      </w:r>
      <w:proofErr w:type="spellStart"/>
      <w:r w:rsidRPr="00B660A3">
        <w:rPr>
          <w:rFonts w:asciiTheme="minorHAnsi" w:hAnsiTheme="minorHAnsi" w:cstheme="minorHAnsi"/>
          <w:sz w:val="24"/>
          <w:szCs w:val="24"/>
        </w:rPr>
        <w:t>testerskiego</w:t>
      </w:r>
      <w:proofErr w:type="spellEnd"/>
      <w:r w:rsidRPr="00B660A3">
        <w:rPr>
          <w:rFonts w:asciiTheme="minorHAnsi" w:hAnsiTheme="minorHAnsi" w:cstheme="minorHAnsi"/>
          <w:sz w:val="24"/>
          <w:szCs w:val="24"/>
        </w:rPr>
        <w:t xml:space="preserve">, w którym zostaną przedstawione wszystkie uwagi testerów opatrzone odpowiednim komentarzem audytora technicznego realizującego drugi etap badania wraz z </w:t>
      </w:r>
      <w:r w:rsidR="001A7E33" w:rsidRPr="00B660A3">
        <w:rPr>
          <w:rFonts w:asciiTheme="minorHAnsi" w:hAnsiTheme="minorHAnsi" w:cstheme="minorHAnsi"/>
          <w:sz w:val="24"/>
          <w:szCs w:val="24"/>
        </w:rPr>
        <w:t>jednoznacznym i precyzyjnym wskazaniem błędów w dostępności cyfrowej, oraz</w:t>
      </w:r>
      <w:r w:rsidR="00B238B6">
        <w:rPr>
          <w:rFonts w:asciiTheme="minorHAnsi" w:hAnsiTheme="minorHAnsi" w:cstheme="minorHAnsi"/>
          <w:sz w:val="24"/>
          <w:szCs w:val="24"/>
        </w:rPr>
        <w:t xml:space="preserve"> </w:t>
      </w:r>
      <w:r w:rsidR="001A7E33" w:rsidRPr="00B660A3">
        <w:rPr>
          <w:rFonts w:asciiTheme="minorHAnsi" w:hAnsiTheme="minorHAnsi" w:cstheme="minorHAnsi"/>
          <w:sz w:val="24"/>
          <w:szCs w:val="24"/>
        </w:rPr>
        <w:t>wyczerpującymi rekomendacjami technicznymi wskazującymi sposób, w jaki należy postępować by usunąć wskazane błędy.</w:t>
      </w:r>
    </w:p>
    <w:p w:rsidR="001A7E33" w:rsidRPr="00B660A3" w:rsidRDefault="001A7E33" w:rsidP="008006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60A3">
        <w:rPr>
          <w:rFonts w:asciiTheme="minorHAnsi" w:hAnsiTheme="minorHAnsi" w:cstheme="minorHAnsi"/>
          <w:sz w:val="24"/>
          <w:szCs w:val="24"/>
        </w:rPr>
        <w:t>Retesty</w:t>
      </w:r>
      <w:r w:rsidR="00EE5CD4">
        <w:rPr>
          <w:rFonts w:asciiTheme="minorHAnsi" w:hAnsiTheme="minorHAnsi" w:cstheme="minorHAnsi"/>
          <w:sz w:val="24"/>
          <w:szCs w:val="24"/>
        </w:rPr>
        <w:t xml:space="preserve"> – zostaną przeprowadzone jeśli audyt podstawowy wykaże błędy dostępności cyfrowej:</w:t>
      </w:r>
    </w:p>
    <w:p w:rsidR="001A7E33" w:rsidRPr="00B660A3" w:rsidRDefault="00025E22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60A3">
        <w:rPr>
          <w:rFonts w:asciiTheme="minorHAnsi" w:hAnsiTheme="minorHAnsi" w:cstheme="minorHAnsi"/>
          <w:sz w:val="24"/>
          <w:szCs w:val="24"/>
        </w:rPr>
        <w:t>Po przedstawieniu przez Wykonawcę i przyj</w:t>
      </w:r>
      <w:r w:rsidR="001A7E33" w:rsidRPr="00B660A3">
        <w:rPr>
          <w:rFonts w:asciiTheme="minorHAnsi" w:hAnsiTheme="minorHAnsi" w:cstheme="minorHAnsi"/>
          <w:sz w:val="24"/>
          <w:szCs w:val="24"/>
        </w:rPr>
        <w:t xml:space="preserve">ęciu przez Zamawiającego raportów z </w:t>
      </w:r>
      <w:r w:rsidRPr="00B660A3">
        <w:rPr>
          <w:rFonts w:asciiTheme="minorHAnsi" w:hAnsiTheme="minorHAnsi" w:cstheme="minorHAnsi"/>
          <w:sz w:val="24"/>
          <w:szCs w:val="24"/>
        </w:rPr>
        <w:t>audyt</w:t>
      </w:r>
      <w:r w:rsidR="00E94DEB">
        <w:rPr>
          <w:rFonts w:asciiTheme="minorHAnsi" w:hAnsiTheme="minorHAnsi" w:cstheme="minorHAnsi"/>
          <w:sz w:val="24"/>
          <w:szCs w:val="24"/>
        </w:rPr>
        <w:t>u</w:t>
      </w:r>
      <w:r w:rsidR="001A7E33" w:rsidRPr="00B660A3">
        <w:rPr>
          <w:rFonts w:asciiTheme="minorHAnsi" w:hAnsiTheme="minorHAnsi" w:cstheme="minorHAnsi"/>
          <w:sz w:val="24"/>
          <w:szCs w:val="24"/>
        </w:rPr>
        <w:t xml:space="preserve"> p. 3-5 </w:t>
      </w:r>
      <w:r w:rsidRPr="00B660A3">
        <w:rPr>
          <w:rFonts w:asciiTheme="minorHAnsi" w:hAnsiTheme="minorHAnsi" w:cstheme="minorHAnsi"/>
          <w:sz w:val="24"/>
          <w:szCs w:val="24"/>
        </w:rPr>
        <w:t xml:space="preserve">Zamawiający wprowadzi, niezbędne zmiany i poprawki wynikające z rekomendacji zawartych w raportach. </w:t>
      </w:r>
    </w:p>
    <w:p w:rsidR="001A7E33" w:rsidRPr="00B660A3" w:rsidRDefault="00EE5CD4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Jeśli audyt podstawowy wykaż</w:t>
      </w:r>
      <w:r w:rsidR="00DD531C">
        <w:rPr>
          <w:rFonts w:asciiTheme="minorHAnsi" w:hAnsiTheme="minorHAnsi" w:cstheme="minorHAnsi"/>
          <w:sz w:val="24"/>
          <w:szCs w:val="24"/>
        </w:rPr>
        <w:t xml:space="preserve">e błędy Zamawiający wprowadzi poprawki. </w:t>
      </w:r>
      <w:r w:rsidR="00025E22" w:rsidRPr="00B660A3">
        <w:rPr>
          <w:rFonts w:asciiTheme="minorHAnsi" w:hAnsiTheme="minorHAnsi" w:cstheme="minorHAnsi"/>
          <w:sz w:val="24"/>
          <w:szCs w:val="24"/>
        </w:rPr>
        <w:t xml:space="preserve">Po </w:t>
      </w:r>
      <w:r w:rsidR="001A7E33" w:rsidRPr="00B660A3">
        <w:rPr>
          <w:rFonts w:asciiTheme="minorHAnsi" w:hAnsiTheme="minorHAnsi" w:cstheme="minorHAnsi"/>
          <w:sz w:val="24"/>
          <w:szCs w:val="24"/>
        </w:rPr>
        <w:t xml:space="preserve">ich </w:t>
      </w:r>
      <w:r w:rsidR="00025E22" w:rsidRPr="00B660A3">
        <w:rPr>
          <w:rFonts w:asciiTheme="minorHAnsi" w:hAnsiTheme="minorHAnsi" w:cstheme="minorHAnsi"/>
          <w:sz w:val="24"/>
          <w:szCs w:val="24"/>
        </w:rPr>
        <w:t>wprowadzeniu Wykonawca przeprowadzi ponowne</w:t>
      </w:r>
      <w:r w:rsidR="005E78CD">
        <w:rPr>
          <w:rFonts w:asciiTheme="minorHAnsi" w:hAnsiTheme="minorHAnsi" w:cstheme="minorHAnsi"/>
          <w:sz w:val="24"/>
          <w:szCs w:val="24"/>
        </w:rPr>
        <w:t xml:space="preserve"> pełne </w:t>
      </w:r>
      <w:r w:rsidR="00025E22" w:rsidRPr="00B660A3">
        <w:rPr>
          <w:rFonts w:asciiTheme="minorHAnsi" w:hAnsiTheme="minorHAnsi" w:cstheme="minorHAnsi"/>
          <w:b/>
          <w:sz w:val="24"/>
          <w:szCs w:val="24"/>
        </w:rPr>
        <w:t>badanie e</w:t>
      </w:r>
      <w:r w:rsidR="00020B9C" w:rsidRPr="00B660A3">
        <w:rPr>
          <w:rFonts w:asciiTheme="minorHAnsi" w:hAnsiTheme="minorHAnsi" w:cstheme="minorHAnsi"/>
          <w:b/>
          <w:sz w:val="24"/>
          <w:szCs w:val="24"/>
        </w:rPr>
        <w:t>ksperckie</w:t>
      </w:r>
      <w:r w:rsidR="00020B9C" w:rsidRPr="00B660A3">
        <w:rPr>
          <w:rFonts w:asciiTheme="minorHAnsi" w:hAnsiTheme="minorHAnsi" w:cstheme="minorHAnsi"/>
          <w:sz w:val="24"/>
          <w:szCs w:val="24"/>
        </w:rPr>
        <w:t xml:space="preserve"> </w:t>
      </w:r>
      <w:r w:rsidR="005E78CD">
        <w:rPr>
          <w:rFonts w:asciiTheme="minorHAnsi" w:hAnsiTheme="minorHAnsi" w:cstheme="minorHAnsi"/>
          <w:sz w:val="24"/>
          <w:szCs w:val="24"/>
        </w:rPr>
        <w:t xml:space="preserve">(co najmniej w zakresie opisanym w p. 4) </w:t>
      </w:r>
      <w:r w:rsidR="00020B9C" w:rsidRPr="00B660A3">
        <w:rPr>
          <w:rFonts w:asciiTheme="minorHAnsi" w:hAnsiTheme="minorHAnsi" w:cstheme="minorHAnsi"/>
          <w:sz w:val="24"/>
          <w:szCs w:val="24"/>
        </w:rPr>
        <w:t>dostępności cyfrowej</w:t>
      </w:r>
      <w:r w:rsidR="00B238B6">
        <w:rPr>
          <w:rFonts w:asciiTheme="minorHAnsi" w:hAnsiTheme="minorHAnsi" w:cstheme="minorHAnsi"/>
          <w:sz w:val="24"/>
          <w:szCs w:val="24"/>
        </w:rPr>
        <w:t xml:space="preserve"> </w:t>
      </w:r>
      <w:r w:rsidR="00E94DEB" w:rsidRPr="00B238B6">
        <w:rPr>
          <w:rFonts w:asciiTheme="minorHAnsi" w:hAnsiTheme="minorHAnsi" w:cstheme="minorHAnsi"/>
          <w:sz w:val="24"/>
          <w:szCs w:val="24"/>
        </w:rPr>
        <w:t xml:space="preserve">dla </w:t>
      </w:r>
      <w:r w:rsidR="00E94DEB">
        <w:rPr>
          <w:rFonts w:asciiTheme="minorHAnsi" w:hAnsiTheme="minorHAnsi" w:cstheme="minorHAnsi"/>
          <w:sz w:val="24"/>
          <w:szCs w:val="24"/>
        </w:rPr>
        <w:t>systemu określonego</w:t>
      </w:r>
      <w:r w:rsidR="00E94DEB" w:rsidRPr="00B238B6">
        <w:rPr>
          <w:rFonts w:asciiTheme="minorHAnsi" w:hAnsiTheme="minorHAnsi" w:cstheme="minorHAnsi"/>
          <w:sz w:val="24"/>
          <w:szCs w:val="24"/>
        </w:rPr>
        <w:t xml:space="preserve"> </w:t>
      </w:r>
      <w:r w:rsidR="00E94DEB">
        <w:rPr>
          <w:rFonts w:asciiTheme="minorHAnsi" w:hAnsiTheme="minorHAnsi" w:cstheme="minorHAnsi"/>
          <w:sz w:val="24"/>
          <w:szCs w:val="24"/>
        </w:rPr>
        <w:t xml:space="preserve">w p. 1 </w:t>
      </w:r>
      <w:r w:rsidR="00025E22" w:rsidRPr="00B660A3">
        <w:rPr>
          <w:rFonts w:asciiTheme="minorHAnsi" w:hAnsiTheme="minorHAnsi" w:cstheme="minorHAnsi"/>
          <w:sz w:val="24"/>
          <w:szCs w:val="24"/>
        </w:rPr>
        <w:t xml:space="preserve">mające w celu sprawdzenia poprawności wprowadzonych poprawek. </w:t>
      </w:r>
    </w:p>
    <w:p w:rsidR="008A38D8" w:rsidRPr="004B1B8B" w:rsidRDefault="001A7E33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60A3">
        <w:rPr>
          <w:rFonts w:asciiTheme="minorHAnsi" w:hAnsiTheme="minorHAnsi" w:cstheme="minorHAnsi"/>
          <w:sz w:val="24"/>
          <w:szCs w:val="24"/>
        </w:rPr>
        <w:t xml:space="preserve">Wynikiem retestu powinien być </w:t>
      </w:r>
      <w:r w:rsidR="00BC3420">
        <w:rPr>
          <w:rFonts w:asciiTheme="minorHAnsi" w:hAnsiTheme="minorHAnsi" w:cstheme="minorHAnsi"/>
          <w:sz w:val="24"/>
          <w:szCs w:val="24"/>
        </w:rPr>
        <w:t>raport</w:t>
      </w:r>
      <w:r w:rsidRPr="00B660A3">
        <w:rPr>
          <w:rFonts w:asciiTheme="minorHAnsi" w:hAnsiTheme="minorHAnsi" w:cstheme="minorHAnsi"/>
          <w:sz w:val="24"/>
          <w:szCs w:val="24"/>
        </w:rPr>
        <w:t xml:space="preserve"> zawierający spis ewentualnych błędów przypisanych do konkretnych adresów URL lub do konkretnych ścieżek/zadań. Każdy przypadek niezgodności z WCAG powinien zawierać adnotację ze wskazaniem jak ją usunąć bądź dostosować do wymagań WCAG. </w:t>
      </w:r>
      <w:r w:rsidR="00025E22" w:rsidRPr="00BC3420">
        <w:rPr>
          <w:rFonts w:asciiTheme="minorHAnsi" w:hAnsiTheme="minorHAnsi" w:cstheme="minorHAnsi"/>
          <w:sz w:val="24"/>
          <w:szCs w:val="24"/>
        </w:rPr>
        <w:t xml:space="preserve">Wykonawca po przeprowadzeniu ponownego </w:t>
      </w:r>
      <w:r w:rsidR="00025E22" w:rsidRPr="004B1B8B">
        <w:rPr>
          <w:rFonts w:asciiTheme="minorHAnsi" w:hAnsiTheme="minorHAnsi" w:cstheme="minorHAnsi"/>
          <w:sz w:val="24"/>
          <w:szCs w:val="24"/>
        </w:rPr>
        <w:t xml:space="preserve">badania przedstawi </w:t>
      </w:r>
      <w:r w:rsidR="00BC3420" w:rsidRPr="004B1B8B">
        <w:rPr>
          <w:rFonts w:asciiTheme="minorHAnsi" w:hAnsiTheme="minorHAnsi" w:cstheme="minorHAnsi"/>
          <w:sz w:val="24"/>
          <w:szCs w:val="24"/>
        </w:rPr>
        <w:t>także w ramach raportu</w:t>
      </w:r>
      <w:r w:rsidR="00025E22" w:rsidRPr="004B1B8B">
        <w:rPr>
          <w:rFonts w:asciiTheme="minorHAnsi" w:hAnsiTheme="minorHAnsi" w:cstheme="minorHAnsi"/>
          <w:sz w:val="24"/>
          <w:szCs w:val="24"/>
        </w:rPr>
        <w:t xml:space="preserve"> tabelę odpowiadającą swoją strukturą załącznikowi do Ustawy z dnia 4 kwietnia 2019 r. o dostępności cyfrowej stron internetowych i aplikacji mobilnych podmiotów publicznych Dz.U. z 2019 roku </w:t>
      </w:r>
      <w:proofErr w:type="spellStart"/>
      <w:r w:rsidR="00025E22" w:rsidRPr="004B1B8B">
        <w:rPr>
          <w:rFonts w:asciiTheme="minorHAnsi" w:hAnsiTheme="minorHAnsi" w:cstheme="minorHAnsi"/>
          <w:sz w:val="24"/>
          <w:szCs w:val="24"/>
        </w:rPr>
        <w:t>poz</w:t>
      </w:r>
      <w:proofErr w:type="spellEnd"/>
      <w:r w:rsidR="00025E22" w:rsidRPr="004B1B8B">
        <w:rPr>
          <w:rFonts w:asciiTheme="minorHAnsi" w:hAnsiTheme="minorHAnsi" w:cstheme="minorHAnsi"/>
          <w:sz w:val="24"/>
          <w:szCs w:val="24"/>
        </w:rPr>
        <w:t xml:space="preserve"> 848 w której wskaże</w:t>
      </w:r>
      <w:r w:rsidRPr="004B1B8B">
        <w:rPr>
          <w:rFonts w:asciiTheme="minorHAnsi" w:hAnsiTheme="minorHAnsi" w:cstheme="minorHAnsi"/>
          <w:sz w:val="24"/>
          <w:szCs w:val="24"/>
        </w:rPr>
        <w:t xml:space="preserve"> jednoznaczne</w:t>
      </w:r>
      <w:r w:rsidR="00025E22" w:rsidRPr="004B1B8B">
        <w:rPr>
          <w:rFonts w:asciiTheme="minorHAnsi" w:hAnsiTheme="minorHAnsi" w:cstheme="minorHAnsi"/>
          <w:sz w:val="24"/>
          <w:szCs w:val="24"/>
        </w:rPr>
        <w:t xml:space="preserve"> kryteria sukcesu które są spełnione, które nie są spełnione, a które nie dotyczą badanego serwisu. W przypadku niespełnienia wymagań </w:t>
      </w:r>
      <w:r w:rsidR="00025E22" w:rsidRPr="004B1B8B">
        <w:rPr>
          <w:rFonts w:asciiTheme="minorHAnsi" w:hAnsiTheme="minorHAnsi" w:cstheme="minorHAnsi"/>
          <w:sz w:val="24"/>
          <w:szCs w:val="24"/>
        </w:rPr>
        <w:lastRenderedPageBreak/>
        <w:t xml:space="preserve">poszczególnych kryteriów sukcesu, dla każdego z nich zostanie umieszczone w tabeli wyjaśnienie i </w:t>
      </w:r>
      <w:r w:rsidRPr="004B1B8B">
        <w:rPr>
          <w:rFonts w:asciiTheme="minorHAnsi" w:hAnsiTheme="minorHAnsi" w:cstheme="minorHAnsi"/>
          <w:sz w:val="24"/>
          <w:szCs w:val="24"/>
        </w:rPr>
        <w:t xml:space="preserve">jednoznaczny </w:t>
      </w:r>
      <w:r w:rsidR="00025E22" w:rsidRPr="004B1B8B">
        <w:rPr>
          <w:rFonts w:asciiTheme="minorHAnsi" w:hAnsiTheme="minorHAnsi" w:cstheme="minorHAnsi"/>
          <w:sz w:val="24"/>
          <w:szCs w:val="24"/>
        </w:rPr>
        <w:t>odpowiedni opis</w:t>
      </w:r>
      <w:r w:rsidR="00992B17">
        <w:rPr>
          <w:rFonts w:asciiTheme="minorHAnsi" w:hAnsiTheme="minorHAnsi" w:cstheme="minorHAnsi"/>
          <w:sz w:val="24"/>
          <w:szCs w:val="24"/>
        </w:rPr>
        <w:t xml:space="preserve"> wraz z </w:t>
      </w:r>
      <w:r w:rsidR="003D022D">
        <w:rPr>
          <w:rFonts w:asciiTheme="minorHAnsi" w:hAnsiTheme="minorHAnsi" w:cstheme="minorHAnsi"/>
          <w:sz w:val="24"/>
          <w:szCs w:val="24"/>
        </w:rPr>
        <w:t>instrukcją usunięcia błędu</w:t>
      </w:r>
      <w:bookmarkStart w:id="0" w:name="_GoBack"/>
      <w:bookmarkEnd w:id="0"/>
      <w:r w:rsidR="00025E22" w:rsidRPr="004B1B8B">
        <w:rPr>
          <w:rFonts w:asciiTheme="minorHAnsi" w:hAnsiTheme="minorHAnsi" w:cstheme="minorHAnsi"/>
          <w:sz w:val="24"/>
          <w:szCs w:val="24"/>
        </w:rPr>
        <w:t>.</w:t>
      </w:r>
    </w:p>
    <w:p w:rsidR="006C025E" w:rsidRPr="004B1B8B" w:rsidRDefault="00A20E9F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4B1B8B">
        <w:rPr>
          <w:rFonts w:asciiTheme="minorHAnsi" w:hAnsiTheme="minorHAnsi" w:cstheme="minorHAnsi"/>
          <w:sz w:val="24"/>
          <w:szCs w:val="24"/>
        </w:rPr>
        <w:t>W przypadku, gdy retesty wykażą błędy w dostępności cyfrowej Wykonawca, po kolejnym wprowadzeniu poprawek przez Zamawiającego - powtórnie przeprowadzi czynności określone w p. 6.2-6.</w:t>
      </w:r>
      <w:r w:rsidR="00BC3420" w:rsidRPr="004B1B8B">
        <w:rPr>
          <w:rFonts w:asciiTheme="minorHAnsi" w:hAnsiTheme="minorHAnsi" w:cstheme="minorHAnsi"/>
          <w:sz w:val="24"/>
          <w:szCs w:val="24"/>
        </w:rPr>
        <w:t>3</w:t>
      </w:r>
      <w:r w:rsidR="005E78CD" w:rsidRPr="004B1B8B">
        <w:rPr>
          <w:rFonts w:asciiTheme="minorHAnsi" w:hAnsiTheme="minorHAnsi" w:cstheme="minorHAnsi"/>
          <w:sz w:val="24"/>
          <w:szCs w:val="24"/>
        </w:rPr>
        <w:t xml:space="preserve"> ograniczając się tylko do sprawdzenia błędów wcześniej zgłaszanych.</w:t>
      </w:r>
    </w:p>
    <w:p w:rsidR="004E0E8F" w:rsidRPr="004B1B8B" w:rsidRDefault="004E0E8F" w:rsidP="008006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4B1B8B">
        <w:rPr>
          <w:rFonts w:asciiTheme="minorHAnsi" w:hAnsiTheme="minorHAnsi" w:cstheme="minorHAnsi"/>
          <w:sz w:val="24"/>
          <w:szCs w:val="24"/>
        </w:rPr>
        <w:t>Lista  ścieżek do audytu (w nawiasie</w:t>
      </w:r>
      <w:r w:rsidR="004B1B8B" w:rsidRPr="004B1B8B">
        <w:rPr>
          <w:rFonts w:asciiTheme="minorHAnsi" w:hAnsiTheme="minorHAnsi" w:cstheme="minorHAnsi"/>
          <w:sz w:val="24"/>
          <w:szCs w:val="24"/>
        </w:rPr>
        <w:t xml:space="preserve"> „[]”</w:t>
      </w:r>
      <w:r w:rsidRPr="004B1B8B">
        <w:rPr>
          <w:rFonts w:asciiTheme="minorHAnsi" w:hAnsiTheme="minorHAnsi" w:cstheme="minorHAnsi"/>
          <w:sz w:val="24"/>
          <w:szCs w:val="24"/>
        </w:rPr>
        <w:t xml:space="preserve"> rodzaje niepełnosprawności testowane w 3 etapie audytu):</w:t>
      </w:r>
    </w:p>
    <w:p w:rsidR="004B1B8B" w:rsidRPr="004B1B8B" w:rsidRDefault="004B1B8B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4B1B8B">
        <w:rPr>
          <w:rFonts w:asciiTheme="minorHAnsi" w:hAnsiTheme="minorHAnsi" w:cstheme="minorHAnsi"/>
          <w:sz w:val="24"/>
          <w:szCs w:val="24"/>
        </w:rPr>
        <w:t>LSI Po stronie wnioskodawcy: [niewidomi, słabowidzący, tylko klawiatura]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 xml:space="preserve">Obsługa strony logowania (logowanie „login i hasło”, rejestracja, przypominanie loginu, przypominanie hasła) 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>Formularz kontaktowy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 xml:space="preserve">Instrukcje </w:t>
      </w:r>
      <w:r w:rsidRPr="004B1B8B">
        <w:rPr>
          <w:rFonts w:eastAsia="Times New Roman"/>
          <w:b/>
        </w:rPr>
        <w:t>[+niesłyszący]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>Lista naborów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>Moje wnioski (Lista spraw do załatwienia + lista wniosków)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>Formularz wniosku o dofinansowanie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>Wycofanie wniosku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>Redagowanie słowników np. słownik przedsiębiorstw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>Ustawienia konta (zmiana hasła, dane użytkownika, zmiana profilu)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>Moduł uzupełnień/wyjaśnień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>Udostępnianie wniosku innemu użytkownikowi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 xml:space="preserve">Wiadomości ( skrzynka odbiorczo-nadawcza) 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>Moduł umów o dofinansowanie (składanie dokumentacji + podpisywanie)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>Moduł aneksów</w:t>
      </w:r>
    </w:p>
    <w:p w:rsidR="004B1B8B" w:rsidRPr="004B1B8B" w:rsidRDefault="004B1B8B" w:rsidP="00001B2C">
      <w:pPr>
        <w:spacing w:line="312" w:lineRule="auto"/>
        <w:rPr>
          <w:rFonts w:eastAsiaTheme="minorHAnsi"/>
        </w:rPr>
      </w:pPr>
      <w:r w:rsidRPr="004B1B8B">
        <w:t> </w:t>
      </w:r>
    </w:p>
    <w:p w:rsidR="004B1B8B" w:rsidRPr="004B1B8B" w:rsidRDefault="004B1B8B" w:rsidP="008006B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4B1B8B">
        <w:rPr>
          <w:rFonts w:asciiTheme="minorHAnsi" w:hAnsiTheme="minorHAnsi" w:cstheme="minorHAnsi"/>
          <w:sz w:val="24"/>
          <w:szCs w:val="24"/>
        </w:rPr>
        <w:t>Po stronie eksperta: [niewidomi, słabowidzący, tylko klawiatura]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>Wnioski aplikacyjne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 xml:space="preserve">Formularz wniosku aplikacyjnego </w:t>
      </w:r>
    </w:p>
    <w:p w:rsidR="004B1B8B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>Formularze oceny ( tabela + formularze oceny merytorycznej/panelowej/protesty/ zadania związane z umową)</w:t>
      </w:r>
    </w:p>
    <w:p w:rsidR="00033457" w:rsidRPr="004B1B8B" w:rsidRDefault="004B1B8B" w:rsidP="008006B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eastAsia="Times New Roman"/>
        </w:rPr>
      </w:pPr>
      <w:r w:rsidRPr="004B1B8B">
        <w:rPr>
          <w:rFonts w:eastAsia="Times New Roman"/>
        </w:rPr>
        <w:t>Ustawienia konta (Wprowadzanie danych eksperta)</w:t>
      </w:r>
    </w:p>
    <w:sectPr w:rsidR="00033457" w:rsidRPr="004B1B8B" w:rsidSect="00001B2C">
      <w:headerReference w:type="default" r:id="rId11"/>
      <w:headerReference w:type="first" r:id="rId12"/>
      <w:pgSz w:w="11906" w:h="16838"/>
      <w:pgMar w:top="1701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BC6" w:rsidRDefault="00222BC6" w:rsidP="005C4A01">
      <w:r>
        <w:separator/>
      </w:r>
    </w:p>
  </w:endnote>
  <w:endnote w:type="continuationSeparator" w:id="0">
    <w:p w:rsidR="00222BC6" w:rsidRDefault="00222BC6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BC6" w:rsidRDefault="00222BC6" w:rsidP="005C4A01">
      <w:r>
        <w:separator/>
      </w:r>
    </w:p>
  </w:footnote>
  <w:footnote w:type="continuationSeparator" w:id="0">
    <w:p w:rsidR="00222BC6" w:rsidRDefault="00222BC6" w:rsidP="005C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AEE" w:rsidRDefault="00001B2C" w:rsidP="0019003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227C1" wp14:editId="2E7BDA7A">
          <wp:simplePos x="0" y="0"/>
          <wp:positionH relativeFrom="margin">
            <wp:posOffset>203200</wp:posOffset>
          </wp:positionH>
          <wp:positionV relativeFrom="topMargin">
            <wp:posOffset>290195</wp:posOffset>
          </wp:positionV>
          <wp:extent cx="5253239" cy="576073"/>
          <wp:effectExtent l="0" t="0" r="5080" b="0"/>
          <wp:wrapSquare wrapText="bothSides"/>
          <wp:docPr id="4" name="Obraz 4" descr="Ciąg logotypów zawierający logo Funduszy Europejskich, flagę Rzeczypospolitej Polskiej, logo PARP, flagę UE z podpisem Unia Europejska, Europejski Fundusz Rozwoju Regionalnego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Flaga PARP EFR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3239" cy="576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922363131"/>
        <w:docPartObj>
          <w:docPartGallery w:val="Page Numbers (Top of Page)"/>
          <w:docPartUnique/>
        </w:docPartObj>
      </w:sdtPr>
      <w:sdtEndPr/>
      <w:sdtContent>
        <w:r w:rsidR="002B5AEE">
          <w:fldChar w:fldCharType="begin"/>
        </w:r>
        <w:r w:rsidR="002B5AEE">
          <w:instrText>PAGE   \* MERGEFORMAT</w:instrText>
        </w:r>
        <w:r w:rsidR="002B5AEE">
          <w:fldChar w:fldCharType="separate"/>
        </w:r>
        <w:r w:rsidR="004702D8">
          <w:rPr>
            <w:noProof/>
          </w:rPr>
          <w:t>6</w:t>
        </w:r>
        <w:r w:rsidR="002B5AEE">
          <w:fldChar w:fldCharType="end"/>
        </w:r>
      </w:sdtContent>
    </w:sdt>
  </w:p>
  <w:p w:rsidR="002B5AEE" w:rsidRDefault="002B5A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AEE" w:rsidRDefault="002B5AEE" w:rsidP="00001B2C">
    <w:pPr>
      <w:pStyle w:val="Nagwek"/>
      <w:jc w:val="right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94A50"/>
    <w:multiLevelType w:val="multilevel"/>
    <w:tmpl w:val="A2842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B0"/>
    <w:rsid w:val="00001B2C"/>
    <w:rsid w:val="000028E0"/>
    <w:rsid w:val="00002FCB"/>
    <w:rsid w:val="000049A8"/>
    <w:rsid w:val="00005FB6"/>
    <w:rsid w:val="00007F01"/>
    <w:rsid w:val="00012B82"/>
    <w:rsid w:val="00020B9C"/>
    <w:rsid w:val="00020D64"/>
    <w:rsid w:val="00025E22"/>
    <w:rsid w:val="00026A45"/>
    <w:rsid w:val="000279AB"/>
    <w:rsid w:val="00031147"/>
    <w:rsid w:val="00033457"/>
    <w:rsid w:val="00037263"/>
    <w:rsid w:val="00041C56"/>
    <w:rsid w:val="000478B1"/>
    <w:rsid w:val="00055520"/>
    <w:rsid w:val="000600CC"/>
    <w:rsid w:val="00060FA8"/>
    <w:rsid w:val="00063B06"/>
    <w:rsid w:val="000656B0"/>
    <w:rsid w:val="00070E0A"/>
    <w:rsid w:val="00073F08"/>
    <w:rsid w:val="00074319"/>
    <w:rsid w:val="0007582A"/>
    <w:rsid w:val="00075ED5"/>
    <w:rsid w:val="00076A7F"/>
    <w:rsid w:val="000820E8"/>
    <w:rsid w:val="00090D0F"/>
    <w:rsid w:val="000A36B9"/>
    <w:rsid w:val="000A57E6"/>
    <w:rsid w:val="000A67D0"/>
    <w:rsid w:val="000B0ADD"/>
    <w:rsid w:val="000B1ACC"/>
    <w:rsid w:val="000B4835"/>
    <w:rsid w:val="000B4BCD"/>
    <w:rsid w:val="000C11AC"/>
    <w:rsid w:val="000C18EA"/>
    <w:rsid w:val="000C7989"/>
    <w:rsid w:val="000D1406"/>
    <w:rsid w:val="000D18C9"/>
    <w:rsid w:val="000E107F"/>
    <w:rsid w:val="000E34AA"/>
    <w:rsid w:val="000E5308"/>
    <w:rsid w:val="000E5D9E"/>
    <w:rsid w:val="000E60CE"/>
    <w:rsid w:val="000E72E8"/>
    <w:rsid w:val="000F13A4"/>
    <w:rsid w:val="000F1D01"/>
    <w:rsid w:val="000F31C3"/>
    <w:rsid w:val="000F32A7"/>
    <w:rsid w:val="000F567F"/>
    <w:rsid w:val="000F670F"/>
    <w:rsid w:val="00100365"/>
    <w:rsid w:val="001025F3"/>
    <w:rsid w:val="00103ADA"/>
    <w:rsid w:val="001070CA"/>
    <w:rsid w:val="001150F9"/>
    <w:rsid w:val="00116B7F"/>
    <w:rsid w:val="001175DE"/>
    <w:rsid w:val="0011770E"/>
    <w:rsid w:val="0012042F"/>
    <w:rsid w:val="00120EA2"/>
    <w:rsid w:val="00121E7B"/>
    <w:rsid w:val="00121F47"/>
    <w:rsid w:val="00125505"/>
    <w:rsid w:val="00126865"/>
    <w:rsid w:val="00127F30"/>
    <w:rsid w:val="001352A6"/>
    <w:rsid w:val="00137B8B"/>
    <w:rsid w:val="001442CE"/>
    <w:rsid w:val="001446ED"/>
    <w:rsid w:val="00144984"/>
    <w:rsid w:val="0014519A"/>
    <w:rsid w:val="00145332"/>
    <w:rsid w:val="00146282"/>
    <w:rsid w:val="0015085E"/>
    <w:rsid w:val="001510A8"/>
    <w:rsid w:val="0015706F"/>
    <w:rsid w:val="00164092"/>
    <w:rsid w:val="00165203"/>
    <w:rsid w:val="0017212E"/>
    <w:rsid w:val="0017217C"/>
    <w:rsid w:val="001729B7"/>
    <w:rsid w:val="00173475"/>
    <w:rsid w:val="00174B94"/>
    <w:rsid w:val="001766CC"/>
    <w:rsid w:val="001805E5"/>
    <w:rsid w:val="00181102"/>
    <w:rsid w:val="001818EE"/>
    <w:rsid w:val="00182C9E"/>
    <w:rsid w:val="00182D16"/>
    <w:rsid w:val="00190035"/>
    <w:rsid w:val="00192FF5"/>
    <w:rsid w:val="00195153"/>
    <w:rsid w:val="0019582D"/>
    <w:rsid w:val="001A383F"/>
    <w:rsid w:val="001A5644"/>
    <w:rsid w:val="001A7491"/>
    <w:rsid w:val="001A7E33"/>
    <w:rsid w:val="001B1B69"/>
    <w:rsid w:val="001B33FD"/>
    <w:rsid w:val="001B605A"/>
    <w:rsid w:val="001C512B"/>
    <w:rsid w:val="001C5F18"/>
    <w:rsid w:val="001C7629"/>
    <w:rsid w:val="001D124D"/>
    <w:rsid w:val="001D3BD5"/>
    <w:rsid w:val="001D4005"/>
    <w:rsid w:val="001D5334"/>
    <w:rsid w:val="001D5642"/>
    <w:rsid w:val="001E091B"/>
    <w:rsid w:val="001E473F"/>
    <w:rsid w:val="001E6E70"/>
    <w:rsid w:val="001E7CB7"/>
    <w:rsid w:val="001F2481"/>
    <w:rsid w:val="001F317B"/>
    <w:rsid w:val="001F3784"/>
    <w:rsid w:val="001F4551"/>
    <w:rsid w:val="001F570C"/>
    <w:rsid w:val="001F79FD"/>
    <w:rsid w:val="00200CCA"/>
    <w:rsid w:val="00202D4C"/>
    <w:rsid w:val="00203926"/>
    <w:rsid w:val="00205507"/>
    <w:rsid w:val="00206C60"/>
    <w:rsid w:val="00210B74"/>
    <w:rsid w:val="00210C3A"/>
    <w:rsid w:val="00215D9F"/>
    <w:rsid w:val="002167C9"/>
    <w:rsid w:val="00222BC6"/>
    <w:rsid w:val="002269C4"/>
    <w:rsid w:val="00230E18"/>
    <w:rsid w:val="00233026"/>
    <w:rsid w:val="00237165"/>
    <w:rsid w:val="00237C48"/>
    <w:rsid w:val="00240E9E"/>
    <w:rsid w:val="00242FF8"/>
    <w:rsid w:val="00246DE0"/>
    <w:rsid w:val="00247A3D"/>
    <w:rsid w:val="00251546"/>
    <w:rsid w:val="002523D3"/>
    <w:rsid w:val="00253B06"/>
    <w:rsid w:val="00256F6C"/>
    <w:rsid w:val="00260093"/>
    <w:rsid w:val="00264F79"/>
    <w:rsid w:val="002732FC"/>
    <w:rsid w:val="002762C7"/>
    <w:rsid w:val="002936AD"/>
    <w:rsid w:val="00295A2C"/>
    <w:rsid w:val="002A4C8B"/>
    <w:rsid w:val="002A51EC"/>
    <w:rsid w:val="002B019D"/>
    <w:rsid w:val="002B2B44"/>
    <w:rsid w:val="002B4D27"/>
    <w:rsid w:val="002B51BE"/>
    <w:rsid w:val="002B5AEE"/>
    <w:rsid w:val="002B5BFD"/>
    <w:rsid w:val="002C71E0"/>
    <w:rsid w:val="002C72B4"/>
    <w:rsid w:val="002C7B05"/>
    <w:rsid w:val="002D0423"/>
    <w:rsid w:val="002D2C4F"/>
    <w:rsid w:val="002D2D4D"/>
    <w:rsid w:val="002E27E2"/>
    <w:rsid w:val="002E3974"/>
    <w:rsid w:val="002E4051"/>
    <w:rsid w:val="002E4360"/>
    <w:rsid w:val="002F3024"/>
    <w:rsid w:val="002F60ED"/>
    <w:rsid w:val="002F611E"/>
    <w:rsid w:val="00300B6E"/>
    <w:rsid w:val="003017EF"/>
    <w:rsid w:val="003035B0"/>
    <w:rsid w:val="00303BBB"/>
    <w:rsid w:val="0030563B"/>
    <w:rsid w:val="00306256"/>
    <w:rsid w:val="00310A31"/>
    <w:rsid w:val="003111FB"/>
    <w:rsid w:val="003141AB"/>
    <w:rsid w:val="003215C7"/>
    <w:rsid w:val="00323B24"/>
    <w:rsid w:val="00324490"/>
    <w:rsid w:val="00330E88"/>
    <w:rsid w:val="003352EC"/>
    <w:rsid w:val="00337643"/>
    <w:rsid w:val="00337C78"/>
    <w:rsid w:val="00340C1E"/>
    <w:rsid w:val="00354DCD"/>
    <w:rsid w:val="00355395"/>
    <w:rsid w:val="003859EE"/>
    <w:rsid w:val="00390682"/>
    <w:rsid w:val="003919B0"/>
    <w:rsid w:val="00392111"/>
    <w:rsid w:val="00392F67"/>
    <w:rsid w:val="003A0234"/>
    <w:rsid w:val="003A1E33"/>
    <w:rsid w:val="003A7303"/>
    <w:rsid w:val="003B4C63"/>
    <w:rsid w:val="003B52A5"/>
    <w:rsid w:val="003B5EF2"/>
    <w:rsid w:val="003B772F"/>
    <w:rsid w:val="003C0BC8"/>
    <w:rsid w:val="003D022D"/>
    <w:rsid w:val="003D51EB"/>
    <w:rsid w:val="003E0812"/>
    <w:rsid w:val="003E3ADA"/>
    <w:rsid w:val="003E4E65"/>
    <w:rsid w:val="003F6BCE"/>
    <w:rsid w:val="00402483"/>
    <w:rsid w:val="004029CB"/>
    <w:rsid w:val="004038A1"/>
    <w:rsid w:val="004107C3"/>
    <w:rsid w:val="00410BE7"/>
    <w:rsid w:val="00413D89"/>
    <w:rsid w:val="00414136"/>
    <w:rsid w:val="00415602"/>
    <w:rsid w:val="004202F4"/>
    <w:rsid w:val="00421FB4"/>
    <w:rsid w:val="00422B5B"/>
    <w:rsid w:val="0043428D"/>
    <w:rsid w:val="00434C06"/>
    <w:rsid w:val="00441F90"/>
    <w:rsid w:val="00442860"/>
    <w:rsid w:val="0044379C"/>
    <w:rsid w:val="004439EF"/>
    <w:rsid w:val="00447D33"/>
    <w:rsid w:val="00447FE4"/>
    <w:rsid w:val="00452DF6"/>
    <w:rsid w:val="004546F9"/>
    <w:rsid w:val="0046062F"/>
    <w:rsid w:val="0046156E"/>
    <w:rsid w:val="00463491"/>
    <w:rsid w:val="00465D77"/>
    <w:rsid w:val="00467D30"/>
    <w:rsid w:val="004702D8"/>
    <w:rsid w:val="004719EC"/>
    <w:rsid w:val="00472362"/>
    <w:rsid w:val="00474932"/>
    <w:rsid w:val="00476089"/>
    <w:rsid w:val="00476C0F"/>
    <w:rsid w:val="0048022C"/>
    <w:rsid w:val="00486299"/>
    <w:rsid w:val="00486F76"/>
    <w:rsid w:val="004876AE"/>
    <w:rsid w:val="00490CC3"/>
    <w:rsid w:val="00492F64"/>
    <w:rsid w:val="00494AD1"/>
    <w:rsid w:val="004A11DF"/>
    <w:rsid w:val="004A382D"/>
    <w:rsid w:val="004A42D3"/>
    <w:rsid w:val="004A66E0"/>
    <w:rsid w:val="004B1B8B"/>
    <w:rsid w:val="004B20F1"/>
    <w:rsid w:val="004C090B"/>
    <w:rsid w:val="004C0E22"/>
    <w:rsid w:val="004C73F1"/>
    <w:rsid w:val="004D2BA6"/>
    <w:rsid w:val="004D764A"/>
    <w:rsid w:val="004E0BC3"/>
    <w:rsid w:val="004E0E8F"/>
    <w:rsid w:val="004E2246"/>
    <w:rsid w:val="004E4BBF"/>
    <w:rsid w:val="004E5CB5"/>
    <w:rsid w:val="004E6C1E"/>
    <w:rsid w:val="004F3317"/>
    <w:rsid w:val="004F33EF"/>
    <w:rsid w:val="004F397D"/>
    <w:rsid w:val="004F4B66"/>
    <w:rsid w:val="004F5192"/>
    <w:rsid w:val="004F57BD"/>
    <w:rsid w:val="004F6238"/>
    <w:rsid w:val="004F65FF"/>
    <w:rsid w:val="004F7AAE"/>
    <w:rsid w:val="005012DA"/>
    <w:rsid w:val="00505E27"/>
    <w:rsid w:val="005109C2"/>
    <w:rsid w:val="00512E1D"/>
    <w:rsid w:val="005161BC"/>
    <w:rsid w:val="00516F94"/>
    <w:rsid w:val="00517D45"/>
    <w:rsid w:val="00520131"/>
    <w:rsid w:val="005256F0"/>
    <w:rsid w:val="00531D3C"/>
    <w:rsid w:val="005324C7"/>
    <w:rsid w:val="0053282F"/>
    <w:rsid w:val="00532AD3"/>
    <w:rsid w:val="00535E27"/>
    <w:rsid w:val="0054037B"/>
    <w:rsid w:val="00543F3E"/>
    <w:rsid w:val="0054597F"/>
    <w:rsid w:val="00546A54"/>
    <w:rsid w:val="00546FB5"/>
    <w:rsid w:val="00553AEC"/>
    <w:rsid w:val="005565C9"/>
    <w:rsid w:val="0055727D"/>
    <w:rsid w:val="00561591"/>
    <w:rsid w:val="00561E60"/>
    <w:rsid w:val="00563D2C"/>
    <w:rsid w:val="0056716C"/>
    <w:rsid w:val="00567FF1"/>
    <w:rsid w:val="005705DA"/>
    <w:rsid w:val="0057416F"/>
    <w:rsid w:val="0057477C"/>
    <w:rsid w:val="005853A7"/>
    <w:rsid w:val="00593B54"/>
    <w:rsid w:val="00595693"/>
    <w:rsid w:val="00597B10"/>
    <w:rsid w:val="005A43F0"/>
    <w:rsid w:val="005B22BE"/>
    <w:rsid w:val="005B3299"/>
    <w:rsid w:val="005B3987"/>
    <w:rsid w:val="005B6CDA"/>
    <w:rsid w:val="005C0838"/>
    <w:rsid w:val="005C0A6D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2C59"/>
    <w:rsid w:val="005D3DCE"/>
    <w:rsid w:val="005D71C2"/>
    <w:rsid w:val="005D73DC"/>
    <w:rsid w:val="005E0C13"/>
    <w:rsid w:val="005E22B2"/>
    <w:rsid w:val="005E41F7"/>
    <w:rsid w:val="005E4A59"/>
    <w:rsid w:val="005E4B58"/>
    <w:rsid w:val="005E70AC"/>
    <w:rsid w:val="005E714C"/>
    <w:rsid w:val="005E78CD"/>
    <w:rsid w:val="005F40D5"/>
    <w:rsid w:val="006027A6"/>
    <w:rsid w:val="00603082"/>
    <w:rsid w:val="006032D0"/>
    <w:rsid w:val="006048EE"/>
    <w:rsid w:val="00604911"/>
    <w:rsid w:val="006176FD"/>
    <w:rsid w:val="00632DDE"/>
    <w:rsid w:val="00634616"/>
    <w:rsid w:val="00635839"/>
    <w:rsid w:val="00640837"/>
    <w:rsid w:val="0064118F"/>
    <w:rsid w:val="006419EC"/>
    <w:rsid w:val="0064254B"/>
    <w:rsid w:val="006426C1"/>
    <w:rsid w:val="00643F95"/>
    <w:rsid w:val="006446E7"/>
    <w:rsid w:val="00645988"/>
    <w:rsid w:val="00646769"/>
    <w:rsid w:val="00647ED9"/>
    <w:rsid w:val="00651E0A"/>
    <w:rsid w:val="00652C3B"/>
    <w:rsid w:val="0065350F"/>
    <w:rsid w:val="0066538D"/>
    <w:rsid w:val="0067069E"/>
    <w:rsid w:val="00670E98"/>
    <w:rsid w:val="006731B9"/>
    <w:rsid w:val="00673BD3"/>
    <w:rsid w:val="00675008"/>
    <w:rsid w:val="00685991"/>
    <w:rsid w:val="00695A3D"/>
    <w:rsid w:val="006A0D45"/>
    <w:rsid w:val="006A1CE4"/>
    <w:rsid w:val="006A2490"/>
    <w:rsid w:val="006A2A7C"/>
    <w:rsid w:val="006A34DB"/>
    <w:rsid w:val="006A3D65"/>
    <w:rsid w:val="006A4B08"/>
    <w:rsid w:val="006A5DCE"/>
    <w:rsid w:val="006B19D5"/>
    <w:rsid w:val="006B5508"/>
    <w:rsid w:val="006B5DB7"/>
    <w:rsid w:val="006B7757"/>
    <w:rsid w:val="006C025E"/>
    <w:rsid w:val="006C0C2F"/>
    <w:rsid w:val="006C1017"/>
    <w:rsid w:val="006C1C6F"/>
    <w:rsid w:val="006C2094"/>
    <w:rsid w:val="006C46E5"/>
    <w:rsid w:val="006D336C"/>
    <w:rsid w:val="006D3EE8"/>
    <w:rsid w:val="006E07EC"/>
    <w:rsid w:val="006F4C5D"/>
    <w:rsid w:val="006F4C7F"/>
    <w:rsid w:val="006F4F4A"/>
    <w:rsid w:val="00700321"/>
    <w:rsid w:val="007031C0"/>
    <w:rsid w:val="0070357B"/>
    <w:rsid w:val="007045D7"/>
    <w:rsid w:val="007056B9"/>
    <w:rsid w:val="00706DEE"/>
    <w:rsid w:val="007077E8"/>
    <w:rsid w:val="00707FAB"/>
    <w:rsid w:val="007121D2"/>
    <w:rsid w:val="0071363D"/>
    <w:rsid w:val="007162E9"/>
    <w:rsid w:val="00724BB8"/>
    <w:rsid w:val="007258D1"/>
    <w:rsid w:val="00726587"/>
    <w:rsid w:val="00731A60"/>
    <w:rsid w:val="0073610C"/>
    <w:rsid w:val="00737A45"/>
    <w:rsid w:val="00744A9D"/>
    <w:rsid w:val="007470CB"/>
    <w:rsid w:val="007473A2"/>
    <w:rsid w:val="007507F9"/>
    <w:rsid w:val="00751A20"/>
    <w:rsid w:val="00753DAE"/>
    <w:rsid w:val="00756AAC"/>
    <w:rsid w:val="0076093E"/>
    <w:rsid w:val="007622CE"/>
    <w:rsid w:val="00763A10"/>
    <w:rsid w:val="007664A9"/>
    <w:rsid w:val="0078022E"/>
    <w:rsid w:val="0078200B"/>
    <w:rsid w:val="007826EA"/>
    <w:rsid w:val="00782770"/>
    <w:rsid w:val="00782A88"/>
    <w:rsid w:val="0078457E"/>
    <w:rsid w:val="00784E3E"/>
    <w:rsid w:val="007855BA"/>
    <w:rsid w:val="00786084"/>
    <w:rsid w:val="00786BC2"/>
    <w:rsid w:val="00790236"/>
    <w:rsid w:val="00795FA3"/>
    <w:rsid w:val="00797A7E"/>
    <w:rsid w:val="007A15A8"/>
    <w:rsid w:val="007A18DF"/>
    <w:rsid w:val="007A1970"/>
    <w:rsid w:val="007A3C6D"/>
    <w:rsid w:val="007A47B6"/>
    <w:rsid w:val="007A4AA4"/>
    <w:rsid w:val="007A7B19"/>
    <w:rsid w:val="007B2282"/>
    <w:rsid w:val="007B2C3A"/>
    <w:rsid w:val="007B3131"/>
    <w:rsid w:val="007B5992"/>
    <w:rsid w:val="007C1AD0"/>
    <w:rsid w:val="007C3D7B"/>
    <w:rsid w:val="007C4AC8"/>
    <w:rsid w:val="007D1687"/>
    <w:rsid w:val="007D2D36"/>
    <w:rsid w:val="007E0FD0"/>
    <w:rsid w:val="007E2E0B"/>
    <w:rsid w:val="007E5520"/>
    <w:rsid w:val="007F3DF5"/>
    <w:rsid w:val="007F7375"/>
    <w:rsid w:val="008006BA"/>
    <w:rsid w:val="00800F27"/>
    <w:rsid w:val="00810CFA"/>
    <w:rsid w:val="00810DC7"/>
    <w:rsid w:val="0081444D"/>
    <w:rsid w:val="00815136"/>
    <w:rsid w:val="00815422"/>
    <w:rsid w:val="00816E9C"/>
    <w:rsid w:val="00824048"/>
    <w:rsid w:val="0082633C"/>
    <w:rsid w:val="00826D1F"/>
    <w:rsid w:val="00832132"/>
    <w:rsid w:val="00833D26"/>
    <w:rsid w:val="00834E36"/>
    <w:rsid w:val="00835E98"/>
    <w:rsid w:val="008362A6"/>
    <w:rsid w:val="00841337"/>
    <w:rsid w:val="00843A1D"/>
    <w:rsid w:val="00845491"/>
    <w:rsid w:val="00846586"/>
    <w:rsid w:val="00847388"/>
    <w:rsid w:val="00854D98"/>
    <w:rsid w:val="00856A79"/>
    <w:rsid w:val="00857407"/>
    <w:rsid w:val="00857454"/>
    <w:rsid w:val="00857CDE"/>
    <w:rsid w:val="00860A0C"/>
    <w:rsid w:val="00861208"/>
    <w:rsid w:val="00864BFC"/>
    <w:rsid w:val="00871091"/>
    <w:rsid w:val="008716E2"/>
    <w:rsid w:val="00872EAC"/>
    <w:rsid w:val="00872EDC"/>
    <w:rsid w:val="008741DB"/>
    <w:rsid w:val="008776EC"/>
    <w:rsid w:val="00877B7D"/>
    <w:rsid w:val="0088114F"/>
    <w:rsid w:val="008855FA"/>
    <w:rsid w:val="00890B89"/>
    <w:rsid w:val="008923E1"/>
    <w:rsid w:val="0089376C"/>
    <w:rsid w:val="00894698"/>
    <w:rsid w:val="0089633D"/>
    <w:rsid w:val="00896CC6"/>
    <w:rsid w:val="00897AE2"/>
    <w:rsid w:val="008A1917"/>
    <w:rsid w:val="008A38D8"/>
    <w:rsid w:val="008A7529"/>
    <w:rsid w:val="008A7EC9"/>
    <w:rsid w:val="008B0001"/>
    <w:rsid w:val="008B18DF"/>
    <w:rsid w:val="008B5800"/>
    <w:rsid w:val="008B6841"/>
    <w:rsid w:val="008C04F7"/>
    <w:rsid w:val="008C7872"/>
    <w:rsid w:val="008D4497"/>
    <w:rsid w:val="008D4939"/>
    <w:rsid w:val="008E22B0"/>
    <w:rsid w:val="008E4098"/>
    <w:rsid w:val="008E63C5"/>
    <w:rsid w:val="008E7518"/>
    <w:rsid w:val="008E7E7B"/>
    <w:rsid w:val="008F0B53"/>
    <w:rsid w:val="008F375C"/>
    <w:rsid w:val="008F4CB9"/>
    <w:rsid w:val="008F6E28"/>
    <w:rsid w:val="008F7197"/>
    <w:rsid w:val="008F76D0"/>
    <w:rsid w:val="009046EF"/>
    <w:rsid w:val="009055B2"/>
    <w:rsid w:val="00907354"/>
    <w:rsid w:val="00913121"/>
    <w:rsid w:val="00921C5E"/>
    <w:rsid w:val="00922FD4"/>
    <w:rsid w:val="00924548"/>
    <w:rsid w:val="009250BC"/>
    <w:rsid w:val="0093070C"/>
    <w:rsid w:val="009341BF"/>
    <w:rsid w:val="00943219"/>
    <w:rsid w:val="00952FE2"/>
    <w:rsid w:val="0095377C"/>
    <w:rsid w:val="00956440"/>
    <w:rsid w:val="0095799D"/>
    <w:rsid w:val="00961E27"/>
    <w:rsid w:val="00962FD1"/>
    <w:rsid w:val="0096303E"/>
    <w:rsid w:val="009649DB"/>
    <w:rsid w:val="009665C0"/>
    <w:rsid w:val="00970A9E"/>
    <w:rsid w:val="00970FC1"/>
    <w:rsid w:val="0097143F"/>
    <w:rsid w:val="009729EF"/>
    <w:rsid w:val="00974D64"/>
    <w:rsid w:val="00976D56"/>
    <w:rsid w:val="00983D53"/>
    <w:rsid w:val="00983FB6"/>
    <w:rsid w:val="00985AC1"/>
    <w:rsid w:val="0098728F"/>
    <w:rsid w:val="00987420"/>
    <w:rsid w:val="0099116A"/>
    <w:rsid w:val="0099259A"/>
    <w:rsid w:val="009927C2"/>
    <w:rsid w:val="00992B17"/>
    <w:rsid w:val="00994467"/>
    <w:rsid w:val="00996981"/>
    <w:rsid w:val="00997A35"/>
    <w:rsid w:val="009A44C9"/>
    <w:rsid w:val="009A5B95"/>
    <w:rsid w:val="009A6872"/>
    <w:rsid w:val="009B7D7B"/>
    <w:rsid w:val="009C6AAA"/>
    <w:rsid w:val="009C73ED"/>
    <w:rsid w:val="009D253A"/>
    <w:rsid w:val="009D323A"/>
    <w:rsid w:val="009D4FCD"/>
    <w:rsid w:val="009E0F92"/>
    <w:rsid w:val="009E1D38"/>
    <w:rsid w:val="009E4C46"/>
    <w:rsid w:val="009E4EA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2843"/>
    <w:rsid w:val="00A02A92"/>
    <w:rsid w:val="00A05A7A"/>
    <w:rsid w:val="00A20E9F"/>
    <w:rsid w:val="00A2168A"/>
    <w:rsid w:val="00A23FB2"/>
    <w:rsid w:val="00A24BFB"/>
    <w:rsid w:val="00A254FE"/>
    <w:rsid w:val="00A321FC"/>
    <w:rsid w:val="00A32874"/>
    <w:rsid w:val="00A35293"/>
    <w:rsid w:val="00A35E79"/>
    <w:rsid w:val="00A37EF0"/>
    <w:rsid w:val="00A40971"/>
    <w:rsid w:val="00A42A3B"/>
    <w:rsid w:val="00A438C5"/>
    <w:rsid w:val="00A442C7"/>
    <w:rsid w:val="00A45186"/>
    <w:rsid w:val="00A46684"/>
    <w:rsid w:val="00A503B8"/>
    <w:rsid w:val="00A5589A"/>
    <w:rsid w:val="00A605A7"/>
    <w:rsid w:val="00A63644"/>
    <w:rsid w:val="00A64E6C"/>
    <w:rsid w:val="00A6679C"/>
    <w:rsid w:val="00A676FF"/>
    <w:rsid w:val="00A71EAD"/>
    <w:rsid w:val="00A727B6"/>
    <w:rsid w:val="00A74B95"/>
    <w:rsid w:val="00A74E4C"/>
    <w:rsid w:val="00A756FE"/>
    <w:rsid w:val="00A82BD8"/>
    <w:rsid w:val="00A96870"/>
    <w:rsid w:val="00AA39E4"/>
    <w:rsid w:val="00AA6C43"/>
    <w:rsid w:val="00AB0968"/>
    <w:rsid w:val="00AB1B25"/>
    <w:rsid w:val="00AB2765"/>
    <w:rsid w:val="00AB64EF"/>
    <w:rsid w:val="00AC0BAD"/>
    <w:rsid w:val="00AC11F0"/>
    <w:rsid w:val="00AC26B1"/>
    <w:rsid w:val="00AC4C00"/>
    <w:rsid w:val="00AC5062"/>
    <w:rsid w:val="00AC5C4B"/>
    <w:rsid w:val="00AD062A"/>
    <w:rsid w:val="00AD69DA"/>
    <w:rsid w:val="00AD7F15"/>
    <w:rsid w:val="00AD7F7C"/>
    <w:rsid w:val="00AE3AE8"/>
    <w:rsid w:val="00AE68D7"/>
    <w:rsid w:val="00B00958"/>
    <w:rsid w:val="00B009CC"/>
    <w:rsid w:val="00B04A3D"/>
    <w:rsid w:val="00B0545E"/>
    <w:rsid w:val="00B07FC1"/>
    <w:rsid w:val="00B175BE"/>
    <w:rsid w:val="00B17CC6"/>
    <w:rsid w:val="00B238B6"/>
    <w:rsid w:val="00B24235"/>
    <w:rsid w:val="00B24E11"/>
    <w:rsid w:val="00B24E41"/>
    <w:rsid w:val="00B24FB4"/>
    <w:rsid w:val="00B27D08"/>
    <w:rsid w:val="00B300FB"/>
    <w:rsid w:val="00B32A79"/>
    <w:rsid w:val="00B32D75"/>
    <w:rsid w:val="00B37739"/>
    <w:rsid w:val="00B52BEF"/>
    <w:rsid w:val="00B52F5D"/>
    <w:rsid w:val="00B548C6"/>
    <w:rsid w:val="00B55E74"/>
    <w:rsid w:val="00B61383"/>
    <w:rsid w:val="00B62526"/>
    <w:rsid w:val="00B6267D"/>
    <w:rsid w:val="00B65D22"/>
    <w:rsid w:val="00B660A3"/>
    <w:rsid w:val="00B67CB0"/>
    <w:rsid w:val="00B67DEB"/>
    <w:rsid w:val="00B74DF4"/>
    <w:rsid w:val="00B76679"/>
    <w:rsid w:val="00B815A5"/>
    <w:rsid w:val="00B81B78"/>
    <w:rsid w:val="00B87EEC"/>
    <w:rsid w:val="00B96765"/>
    <w:rsid w:val="00BA6965"/>
    <w:rsid w:val="00BA6DD5"/>
    <w:rsid w:val="00BA724A"/>
    <w:rsid w:val="00BB0452"/>
    <w:rsid w:val="00BB0C47"/>
    <w:rsid w:val="00BB4612"/>
    <w:rsid w:val="00BB5001"/>
    <w:rsid w:val="00BB7921"/>
    <w:rsid w:val="00BC3420"/>
    <w:rsid w:val="00BC404B"/>
    <w:rsid w:val="00BC4B24"/>
    <w:rsid w:val="00BC594C"/>
    <w:rsid w:val="00BC6562"/>
    <w:rsid w:val="00BD0F40"/>
    <w:rsid w:val="00BD16C4"/>
    <w:rsid w:val="00BD1899"/>
    <w:rsid w:val="00BD231C"/>
    <w:rsid w:val="00BD32D1"/>
    <w:rsid w:val="00BD4FA8"/>
    <w:rsid w:val="00BE658C"/>
    <w:rsid w:val="00BF489E"/>
    <w:rsid w:val="00C030D3"/>
    <w:rsid w:val="00C070B9"/>
    <w:rsid w:val="00C127DF"/>
    <w:rsid w:val="00C1618E"/>
    <w:rsid w:val="00C17B30"/>
    <w:rsid w:val="00C22953"/>
    <w:rsid w:val="00C229D6"/>
    <w:rsid w:val="00C2336B"/>
    <w:rsid w:val="00C24820"/>
    <w:rsid w:val="00C2504E"/>
    <w:rsid w:val="00C30619"/>
    <w:rsid w:val="00C3184B"/>
    <w:rsid w:val="00C33808"/>
    <w:rsid w:val="00C35BBA"/>
    <w:rsid w:val="00C37FB9"/>
    <w:rsid w:val="00C4496A"/>
    <w:rsid w:val="00C459A0"/>
    <w:rsid w:val="00C45D8E"/>
    <w:rsid w:val="00C476E5"/>
    <w:rsid w:val="00C52082"/>
    <w:rsid w:val="00C53DE6"/>
    <w:rsid w:val="00C544F0"/>
    <w:rsid w:val="00C5689C"/>
    <w:rsid w:val="00C56D15"/>
    <w:rsid w:val="00C61B2F"/>
    <w:rsid w:val="00C65823"/>
    <w:rsid w:val="00C659A5"/>
    <w:rsid w:val="00C7142F"/>
    <w:rsid w:val="00C817BB"/>
    <w:rsid w:val="00C82FC0"/>
    <w:rsid w:val="00C834DE"/>
    <w:rsid w:val="00C85651"/>
    <w:rsid w:val="00C85973"/>
    <w:rsid w:val="00C85DE9"/>
    <w:rsid w:val="00C86BAB"/>
    <w:rsid w:val="00C86FF8"/>
    <w:rsid w:val="00C87907"/>
    <w:rsid w:val="00C9722D"/>
    <w:rsid w:val="00CA539B"/>
    <w:rsid w:val="00CB49DC"/>
    <w:rsid w:val="00CB4C23"/>
    <w:rsid w:val="00CB54D6"/>
    <w:rsid w:val="00CC026E"/>
    <w:rsid w:val="00CC13D7"/>
    <w:rsid w:val="00CC226E"/>
    <w:rsid w:val="00CC491C"/>
    <w:rsid w:val="00CE0229"/>
    <w:rsid w:val="00CE21AB"/>
    <w:rsid w:val="00CE25CB"/>
    <w:rsid w:val="00CE2FEB"/>
    <w:rsid w:val="00CE634F"/>
    <w:rsid w:val="00CE7836"/>
    <w:rsid w:val="00CE7CC5"/>
    <w:rsid w:val="00CE7EB6"/>
    <w:rsid w:val="00CF21F7"/>
    <w:rsid w:val="00CF3F8A"/>
    <w:rsid w:val="00CF737D"/>
    <w:rsid w:val="00D00EE0"/>
    <w:rsid w:val="00D02506"/>
    <w:rsid w:val="00D04F9F"/>
    <w:rsid w:val="00D068B5"/>
    <w:rsid w:val="00D068F2"/>
    <w:rsid w:val="00D11402"/>
    <w:rsid w:val="00D12AE6"/>
    <w:rsid w:val="00D13666"/>
    <w:rsid w:val="00D16EE6"/>
    <w:rsid w:val="00D23258"/>
    <w:rsid w:val="00D23896"/>
    <w:rsid w:val="00D244C3"/>
    <w:rsid w:val="00D31910"/>
    <w:rsid w:val="00D31E25"/>
    <w:rsid w:val="00D332B9"/>
    <w:rsid w:val="00D367DA"/>
    <w:rsid w:val="00D44229"/>
    <w:rsid w:val="00D464AA"/>
    <w:rsid w:val="00D4731F"/>
    <w:rsid w:val="00D5389D"/>
    <w:rsid w:val="00D544EC"/>
    <w:rsid w:val="00D55C89"/>
    <w:rsid w:val="00D56B46"/>
    <w:rsid w:val="00D570D0"/>
    <w:rsid w:val="00D64B4E"/>
    <w:rsid w:val="00D64D9F"/>
    <w:rsid w:val="00D70238"/>
    <w:rsid w:val="00D72B0B"/>
    <w:rsid w:val="00D74569"/>
    <w:rsid w:val="00D75706"/>
    <w:rsid w:val="00D80F00"/>
    <w:rsid w:val="00D83CB8"/>
    <w:rsid w:val="00D84689"/>
    <w:rsid w:val="00D85BDD"/>
    <w:rsid w:val="00D86507"/>
    <w:rsid w:val="00D92A1C"/>
    <w:rsid w:val="00D945D3"/>
    <w:rsid w:val="00DA2C1B"/>
    <w:rsid w:val="00DA53F7"/>
    <w:rsid w:val="00DA54B5"/>
    <w:rsid w:val="00DA6D8C"/>
    <w:rsid w:val="00DA7C4C"/>
    <w:rsid w:val="00DB23E3"/>
    <w:rsid w:val="00DB7AD5"/>
    <w:rsid w:val="00DC18F3"/>
    <w:rsid w:val="00DC1A32"/>
    <w:rsid w:val="00DC3390"/>
    <w:rsid w:val="00DC4838"/>
    <w:rsid w:val="00DD17F8"/>
    <w:rsid w:val="00DD3AAB"/>
    <w:rsid w:val="00DD531C"/>
    <w:rsid w:val="00DE09C0"/>
    <w:rsid w:val="00DE6E55"/>
    <w:rsid w:val="00DF0385"/>
    <w:rsid w:val="00DF105A"/>
    <w:rsid w:val="00DF776D"/>
    <w:rsid w:val="00E00C9B"/>
    <w:rsid w:val="00E01AF9"/>
    <w:rsid w:val="00E01D5B"/>
    <w:rsid w:val="00E02430"/>
    <w:rsid w:val="00E03C28"/>
    <w:rsid w:val="00E14AE4"/>
    <w:rsid w:val="00E1712F"/>
    <w:rsid w:val="00E211C9"/>
    <w:rsid w:val="00E23A94"/>
    <w:rsid w:val="00E25477"/>
    <w:rsid w:val="00E25EFB"/>
    <w:rsid w:val="00E26A14"/>
    <w:rsid w:val="00E2756E"/>
    <w:rsid w:val="00E3429D"/>
    <w:rsid w:val="00E3498B"/>
    <w:rsid w:val="00E36471"/>
    <w:rsid w:val="00E4292D"/>
    <w:rsid w:val="00E43650"/>
    <w:rsid w:val="00E44102"/>
    <w:rsid w:val="00E4463D"/>
    <w:rsid w:val="00E4571F"/>
    <w:rsid w:val="00E462C3"/>
    <w:rsid w:val="00E475F7"/>
    <w:rsid w:val="00E514FF"/>
    <w:rsid w:val="00E52E2C"/>
    <w:rsid w:val="00E53A64"/>
    <w:rsid w:val="00E611A6"/>
    <w:rsid w:val="00E63D3F"/>
    <w:rsid w:val="00E6549B"/>
    <w:rsid w:val="00E65C87"/>
    <w:rsid w:val="00E708CA"/>
    <w:rsid w:val="00E73452"/>
    <w:rsid w:val="00E76963"/>
    <w:rsid w:val="00E811C2"/>
    <w:rsid w:val="00E83D8E"/>
    <w:rsid w:val="00E8589D"/>
    <w:rsid w:val="00E90005"/>
    <w:rsid w:val="00E94DEB"/>
    <w:rsid w:val="00E94E5F"/>
    <w:rsid w:val="00E96E32"/>
    <w:rsid w:val="00EA0346"/>
    <w:rsid w:val="00EA0BC2"/>
    <w:rsid w:val="00EA390B"/>
    <w:rsid w:val="00EA49B6"/>
    <w:rsid w:val="00EA6697"/>
    <w:rsid w:val="00EA7369"/>
    <w:rsid w:val="00EB0290"/>
    <w:rsid w:val="00EB091D"/>
    <w:rsid w:val="00EB1904"/>
    <w:rsid w:val="00EC095A"/>
    <w:rsid w:val="00EC4CCC"/>
    <w:rsid w:val="00EC5A38"/>
    <w:rsid w:val="00EC5E5D"/>
    <w:rsid w:val="00EC7E8E"/>
    <w:rsid w:val="00ED2118"/>
    <w:rsid w:val="00ED43C4"/>
    <w:rsid w:val="00ED571C"/>
    <w:rsid w:val="00ED6661"/>
    <w:rsid w:val="00EE1002"/>
    <w:rsid w:val="00EE15B5"/>
    <w:rsid w:val="00EE4D99"/>
    <w:rsid w:val="00EE5CD4"/>
    <w:rsid w:val="00EE6425"/>
    <w:rsid w:val="00EF16F0"/>
    <w:rsid w:val="00EF347C"/>
    <w:rsid w:val="00EF3DC1"/>
    <w:rsid w:val="00EF3FD4"/>
    <w:rsid w:val="00EF5590"/>
    <w:rsid w:val="00F011D1"/>
    <w:rsid w:val="00F019DC"/>
    <w:rsid w:val="00F048BB"/>
    <w:rsid w:val="00F04FE4"/>
    <w:rsid w:val="00F12EEC"/>
    <w:rsid w:val="00F14635"/>
    <w:rsid w:val="00F1670E"/>
    <w:rsid w:val="00F16C01"/>
    <w:rsid w:val="00F21699"/>
    <w:rsid w:val="00F2194C"/>
    <w:rsid w:val="00F21A42"/>
    <w:rsid w:val="00F221EE"/>
    <w:rsid w:val="00F26291"/>
    <w:rsid w:val="00F2692A"/>
    <w:rsid w:val="00F32341"/>
    <w:rsid w:val="00F33EE7"/>
    <w:rsid w:val="00F44BCB"/>
    <w:rsid w:val="00F44EB9"/>
    <w:rsid w:val="00F4546E"/>
    <w:rsid w:val="00F46259"/>
    <w:rsid w:val="00F46E7C"/>
    <w:rsid w:val="00F47B80"/>
    <w:rsid w:val="00F47F29"/>
    <w:rsid w:val="00F558B8"/>
    <w:rsid w:val="00F62734"/>
    <w:rsid w:val="00F63611"/>
    <w:rsid w:val="00F65E71"/>
    <w:rsid w:val="00F66EA3"/>
    <w:rsid w:val="00F6719B"/>
    <w:rsid w:val="00F70AAA"/>
    <w:rsid w:val="00F77BD3"/>
    <w:rsid w:val="00F82631"/>
    <w:rsid w:val="00F90C1B"/>
    <w:rsid w:val="00F91012"/>
    <w:rsid w:val="00F93AA8"/>
    <w:rsid w:val="00F94BA0"/>
    <w:rsid w:val="00FA54AA"/>
    <w:rsid w:val="00FA55E1"/>
    <w:rsid w:val="00FA6363"/>
    <w:rsid w:val="00FB2347"/>
    <w:rsid w:val="00FB2CB5"/>
    <w:rsid w:val="00FB323B"/>
    <w:rsid w:val="00FB5680"/>
    <w:rsid w:val="00FB5FE9"/>
    <w:rsid w:val="00FC4DF7"/>
    <w:rsid w:val="00FD4104"/>
    <w:rsid w:val="00FD4474"/>
    <w:rsid w:val="00FD76B0"/>
    <w:rsid w:val="00FD795C"/>
    <w:rsid w:val="00FE1826"/>
    <w:rsid w:val="00FE2133"/>
    <w:rsid w:val="00FE2380"/>
    <w:rsid w:val="00FE4787"/>
    <w:rsid w:val="00FE7054"/>
    <w:rsid w:val="00FE7BCA"/>
    <w:rsid w:val="00FE7E50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6A2F5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B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C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C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3.org/TR/WCAG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si1420.parp.gov.pl/hom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853F-338D-4003-9617-E264096E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1424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zamówienia Audyt dostępności cyfrowej LSI</vt:lpstr>
    </vt:vector>
  </TitlesOfParts>
  <Company>PARP</Company>
  <LinksUpToDate>false</LinksUpToDate>
  <CharactersWithSpaces>9955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zamówienia Audyt dostępności cyfrowej LSI</dc:title>
  <dc:creator>magdalena_sicko</dc:creator>
  <cp:keywords>PARP, PL</cp:keywords>
  <cp:lastModifiedBy>Cybulski Dawid</cp:lastModifiedBy>
  <cp:revision>4</cp:revision>
  <cp:lastPrinted>2019-04-02T10:30:00Z</cp:lastPrinted>
  <dcterms:created xsi:type="dcterms:W3CDTF">2021-01-21T10:15:00Z</dcterms:created>
  <dcterms:modified xsi:type="dcterms:W3CDTF">2021-01-21T10:49:00Z</dcterms:modified>
</cp:coreProperties>
</file>